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charts/chart59.xml" ContentType="application/vnd.openxmlformats-officedocument.drawingml.chart+xml"/>
  <Override PartName="/word/charts/chart68.xml" ContentType="application/vnd.openxmlformats-officedocument.drawingml.chart+xml"/>
  <Override PartName="/word/charts/chart77.xml" ContentType="application/vnd.openxmlformats-officedocument.drawingml.chart+xml"/>
  <Override PartName="/word/charts/chart79.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7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8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Default Extension="jpeg" ContentType="image/jpeg"/>
  <Default Extension="emf" ContentType="image/x-emf"/>
  <Override PartName="/word/charts/chart49.xml" ContentType="application/vnd.openxmlformats-officedocument.drawingml.chart+xml"/>
  <Override PartName="/word/charts/chart69.xml" ContentType="application/vnd.openxmlformats-officedocument.drawingml.chart+xml"/>
  <Override PartName="/word/charts/chart78.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161" w:rsidRPr="00885434" w:rsidRDefault="006D1B39" w:rsidP="006D1B39">
      <w:pPr>
        <w:spacing w:after="0"/>
        <w:jc w:val="right"/>
      </w:pPr>
      <w:bookmarkStart w:id="0" w:name="_Toc306028434"/>
      <w:r w:rsidRPr="00885434">
        <w:t>Załącznik do uchwały nr …</w:t>
      </w:r>
    </w:p>
    <w:p w:rsidR="006D1B39" w:rsidRPr="00885434" w:rsidRDefault="006D1B39" w:rsidP="006D1B39">
      <w:pPr>
        <w:spacing w:after="0"/>
        <w:jc w:val="right"/>
      </w:pPr>
      <w:r w:rsidRPr="00885434">
        <w:t>Rady Miejskiej Gminy Pobiedziska</w:t>
      </w:r>
    </w:p>
    <w:p w:rsidR="006D1B39" w:rsidRPr="00885434" w:rsidRDefault="006D1B39" w:rsidP="006D1B39">
      <w:pPr>
        <w:spacing w:after="0"/>
        <w:jc w:val="right"/>
      </w:pPr>
      <w:r w:rsidRPr="00885434">
        <w:t>z dnia …</w:t>
      </w:r>
    </w:p>
    <w:p w:rsidR="00477161" w:rsidRPr="00885434" w:rsidRDefault="00477161"/>
    <w:p w:rsidR="00477161" w:rsidRPr="00885434" w:rsidRDefault="00E07640">
      <w:r w:rsidRPr="00E07640">
        <w:rPr>
          <w:noProof/>
          <w:color w:val="943634" w:themeColor="accent2" w:themeShade="BF"/>
        </w:rPr>
        <w:pict>
          <v:shapetype id="_x0000_t32" coordsize="21600,21600" o:spt="32" o:oned="t" path="m,l21600,21600e" filled="f">
            <v:path arrowok="t" fillok="f" o:connecttype="none"/>
            <o:lock v:ext="edit" shapetype="t"/>
          </v:shapetype>
          <v:shape id="_x0000_s1029" type="#_x0000_t32" style="position:absolute;margin-left:-14.75pt;margin-top:14.75pt;width:0;height:128.95pt;z-index:251661312" o:connectortype="straight" strokecolor="#943634 [2405]" strokeweight="5pt">
            <v:imagedata embosscolor="shadow add(51)"/>
            <v:shadow on="t" opacity=".5" offset="6pt,-6pt"/>
          </v:shape>
        </w:pict>
      </w:r>
    </w:p>
    <w:p w:rsidR="00E33592" w:rsidRPr="00C54FA5" w:rsidRDefault="00E33592">
      <w:pPr>
        <w:rPr>
          <w:shadow/>
          <w:sz w:val="48"/>
        </w:rPr>
      </w:pPr>
      <w:r w:rsidRPr="00885434">
        <w:rPr>
          <w:shadow/>
          <w:sz w:val="48"/>
        </w:rPr>
        <w:t>Strategia Rozwoju</w:t>
      </w:r>
      <w:r w:rsidRPr="00885434">
        <w:rPr>
          <w:shadow/>
          <w:sz w:val="48"/>
        </w:rPr>
        <w:br/>
        <w:t>Miasta i Gminy Pobiedziska</w:t>
      </w:r>
      <w:r w:rsidRPr="00885434">
        <w:rPr>
          <w:shadow/>
          <w:sz w:val="48"/>
        </w:rPr>
        <w:br/>
        <w:t xml:space="preserve">na lata </w:t>
      </w:r>
      <w:r w:rsidR="00DE1914" w:rsidRPr="00C54FA5">
        <w:rPr>
          <w:shadow/>
          <w:sz w:val="48"/>
        </w:rPr>
        <w:t>2012-2020</w:t>
      </w:r>
    </w:p>
    <w:p w:rsidR="00E33592" w:rsidRPr="00885434" w:rsidRDefault="00E33592"/>
    <w:p w:rsidR="00E33592" w:rsidRPr="00885434" w:rsidRDefault="00E33592"/>
    <w:p w:rsidR="00E33592" w:rsidRPr="00885434" w:rsidRDefault="00E33592"/>
    <w:p w:rsidR="00477161" w:rsidRPr="00885434" w:rsidRDefault="00477161" w:rsidP="00EF3D2F">
      <w:pPr>
        <w:jc w:val="center"/>
      </w:pPr>
      <w:r w:rsidRPr="00885434">
        <w:rPr>
          <w:noProof/>
        </w:rPr>
        <w:drawing>
          <wp:inline distT="0" distB="0" distL="0" distR="0">
            <wp:extent cx="2151239" cy="2371060"/>
            <wp:effectExtent l="19050" t="0" r="1411"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52366" cy="2372303"/>
                    </a:xfrm>
                    <a:prstGeom prst="rect">
                      <a:avLst/>
                    </a:prstGeom>
                    <a:noFill/>
                    <a:ln w="9525">
                      <a:noFill/>
                      <a:miter lim="800000"/>
                      <a:headEnd/>
                      <a:tailEnd/>
                    </a:ln>
                  </pic:spPr>
                </pic:pic>
              </a:graphicData>
            </a:graphic>
          </wp:inline>
        </w:drawing>
      </w:r>
    </w:p>
    <w:p w:rsidR="00477161" w:rsidRPr="00885434" w:rsidRDefault="00477161"/>
    <w:p w:rsidR="00477161" w:rsidRPr="00885434" w:rsidRDefault="00477161"/>
    <w:p w:rsidR="006D1B39" w:rsidRPr="00885434" w:rsidRDefault="006D1B39"/>
    <w:p w:rsidR="001350CF" w:rsidRPr="00885434" w:rsidRDefault="001350CF"/>
    <w:p w:rsidR="001350CF" w:rsidRPr="00885434" w:rsidRDefault="001350CF"/>
    <w:p w:rsidR="006D1B39" w:rsidRPr="00885434" w:rsidRDefault="006D1B39"/>
    <w:p w:rsidR="001350CF" w:rsidRPr="00885434" w:rsidRDefault="006D1B39" w:rsidP="001350CF">
      <w:pPr>
        <w:jc w:val="center"/>
        <w:rPr>
          <w:sz w:val="24"/>
        </w:rPr>
      </w:pPr>
      <w:r w:rsidRPr="00885434">
        <w:rPr>
          <w:sz w:val="24"/>
        </w:rPr>
        <w:t xml:space="preserve">Pobiedziska, </w:t>
      </w:r>
      <w:r w:rsidR="00C54FA5">
        <w:rPr>
          <w:sz w:val="24"/>
        </w:rPr>
        <w:t>styczeń 2012</w:t>
      </w:r>
    </w:p>
    <w:p w:rsidR="00477161" w:rsidRPr="00885434" w:rsidRDefault="00477161">
      <w:r w:rsidRPr="00885434">
        <w:br w:type="page"/>
      </w:r>
    </w:p>
    <w:sdt>
      <w:sdtPr>
        <w:id w:val="1456282"/>
        <w:docPartObj>
          <w:docPartGallery w:val="Cover Pages"/>
          <w:docPartUnique/>
        </w:docPartObj>
      </w:sdtPr>
      <w:sdtEndPr>
        <w:rPr>
          <w:rFonts w:cs="Tahoma"/>
          <w:b/>
          <w:bCs/>
        </w:rPr>
      </w:sdtEndPr>
      <w:sdtContent>
        <w:p w:rsidR="00927DA9" w:rsidRPr="00885434" w:rsidRDefault="00927DA9"/>
        <w:sdt>
          <w:sdtPr>
            <w:rPr>
              <w:rFonts w:asciiTheme="minorHAnsi" w:eastAsiaTheme="minorEastAsia" w:hAnsiTheme="minorHAnsi" w:cstheme="minorBidi"/>
              <w:b w:val="0"/>
              <w:bCs w:val="0"/>
              <w:color w:val="auto"/>
              <w:sz w:val="22"/>
              <w:szCs w:val="22"/>
              <w:lang w:eastAsia="pl-PL"/>
            </w:rPr>
            <w:id w:val="1456306"/>
            <w:docPartObj>
              <w:docPartGallery w:val="Table of Contents"/>
              <w:docPartUnique/>
            </w:docPartObj>
          </w:sdtPr>
          <w:sdtContent>
            <w:p w:rsidR="00927DA9" w:rsidRPr="00885434" w:rsidRDefault="00927DA9">
              <w:pPr>
                <w:pStyle w:val="Nagwekspisutreci"/>
                <w:rPr>
                  <w:rFonts w:asciiTheme="minorHAnsi" w:hAnsiTheme="minorHAnsi"/>
                </w:rPr>
              </w:pPr>
              <w:r w:rsidRPr="00885434">
                <w:rPr>
                  <w:rFonts w:asciiTheme="minorHAnsi" w:hAnsiTheme="minorHAnsi"/>
                </w:rPr>
                <w:t>Spis treści</w:t>
              </w:r>
            </w:p>
            <w:p w:rsidR="0010206F" w:rsidRDefault="00E07640">
              <w:pPr>
                <w:pStyle w:val="Spistreci1"/>
                <w:tabs>
                  <w:tab w:val="left" w:pos="440"/>
                  <w:tab w:val="right" w:leader="dot" w:pos="9062"/>
                </w:tabs>
                <w:rPr>
                  <w:noProof/>
                </w:rPr>
              </w:pPr>
              <w:r w:rsidRPr="00885434">
                <w:fldChar w:fldCharType="begin"/>
              </w:r>
              <w:r w:rsidR="00927DA9" w:rsidRPr="00885434">
                <w:instrText xml:space="preserve"> TOC \o "1-3" \h \z \u </w:instrText>
              </w:r>
              <w:r w:rsidRPr="00885434">
                <w:fldChar w:fldCharType="separate"/>
              </w:r>
              <w:hyperlink w:anchor="_Toc321135321" w:history="1">
                <w:r w:rsidR="0010206F" w:rsidRPr="00542C99">
                  <w:rPr>
                    <w:rStyle w:val="Hipercze"/>
                    <w:rFonts w:cs="Tahoma"/>
                    <w:noProof/>
                  </w:rPr>
                  <w:t>I.</w:t>
                </w:r>
                <w:r w:rsidR="0010206F">
                  <w:rPr>
                    <w:noProof/>
                  </w:rPr>
                  <w:tab/>
                </w:r>
                <w:r w:rsidR="0010206F" w:rsidRPr="00542C99">
                  <w:rPr>
                    <w:rStyle w:val="Hipercze"/>
                    <w:rFonts w:cs="Tahoma"/>
                    <w:noProof/>
                  </w:rPr>
                  <w:t>Słowo wstępne</w:t>
                </w:r>
                <w:r w:rsidR="0010206F">
                  <w:rPr>
                    <w:noProof/>
                    <w:webHidden/>
                  </w:rPr>
                  <w:tab/>
                </w:r>
                <w:r w:rsidR="0010206F">
                  <w:rPr>
                    <w:noProof/>
                    <w:webHidden/>
                  </w:rPr>
                  <w:fldChar w:fldCharType="begin"/>
                </w:r>
                <w:r w:rsidR="0010206F">
                  <w:rPr>
                    <w:noProof/>
                    <w:webHidden/>
                  </w:rPr>
                  <w:instrText xml:space="preserve"> PAGEREF _Toc321135321 \h </w:instrText>
                </w:r>
                <w:r w:rsidR="0010206F">
                  <w:rPr>
                    <w:noProof/>
                    <w:webHidden/>
                  </w:rPr>
                </w:r>
                <w:r w:rsidR="0010206F">
                  <w:rPr>
                    <w:noProof/>
                    <w:webHidden/>
                  </w:rPr>
                  <w:fldChar w:fldCharType="separate"/>
                </w:r>
                <w:r w:rsidR="0010206F">
                  <w:rPr>
                    <w:noProof/>
                    <w:webHidden/>
                  </w:rPr>
                  <w:t>- 4 -</w:t>
                </w:r>
                <w:r w:rsidR="0010206F">
                  <w:rPr>
                    <w:noProof/>
                    <w:webHidden/>
                  </w:rPr>
                  <w:fldChar w:fldCharType="end"/>
                </w:r>
              </w:hyperlink>
            </w:p>
            <w:p w:rsidR="0010206F" w:rsidRDefault="0010206F">
              <w:pPr>
                <w:pStyle w:val="Spistreci1"/>
                <w:tabs>
                  <w:tab w:val="left" w:pos="440"/>
                  <w:tab w:val="right" w:leader="dot" w:pos="9062"/>
                </w:tabs>
                <w:rPr>
                  <w:noProof/>
                </w:rPr>
              </w:pPr>
              <w:hyperlink w:anchor="_Toc321135322" w:history="1">
                <w:r w:rsidRPr="00542C99">
                  <w:rPr>
                    <w:rStyle w:val="Hipercze"/>
                    <w:rFonts w:cs="Tahoma"/>
                    <w:noProof/>
                  </w:rPr>
                  <w:t>II.</w:t>
                </w:r>
                <w:r>
                  <w:rPr>
                    <w:noProof/>
                  </w:rPr>
                  <w:tab/>
                </w:r>
                <w:r w:rsidRPr="00542C99">
                  <w:rPr>
                    <w:rStyle w:val="Hipercze"/>
                    <w:rFonts w:cs="Tahoma"/>
                    <w:noProof/>
                  </w:rPr>
                  <w:t>Wprowadzenie</w:t>
                </w:r>
                <w:r>
                  <w:rPr>
                    <w:noProof/>
                    <w:webHidden/>
                  </w:rPr>
                  <w:tab/>
                </w:r>
                <w:r>
                  <w:rPr>
                    <w:noProof/>
                    <w:webHidden/>
                  </w:rPr>
                  <w:fldChar w:fldCharType="begin"/>
                </w:r>
                <w:r>
                  <w:rPr>
                    <w:noProof/>
                    <w:webHidden/>
                  </w:rPr>
                  <w:instrText xml:space="preserve"> PAGEREF _Toc321135322 \h </w:instrText>
                </w:r>
                <w:r>
                  <w:rPr>
                    <w:noProof/>
                    <w:webHidden/>
                  </w:rPr>
                </w:r>
                <w:r>
                  <w:rPr>
                    <w:noProof/>
                    <w:webHidden/>
                  </w:rPr>
                  <w:fldChar w:fldCharType="separate"/>
                </w:r>
                <w:r>
                  <w:rPr>
                    <w:noProof/>
                    <w:webHidden/>
                  </w:rPr>
                  <w:t>- 4 -</w:t>
                </w:r>
                <w:r>
                  <w:rPr>
                    <w:noProof/>
                    <w:webHidden/>
                  </w:rPr>
                  <w:fldChar w:fldCharType="end"/>
                </w:r>
              </w:hyperlink>
            </w:p>
            <w:p w:rsidR="0010206F" w:rsidRDefault="0010206F">
              <w:pPr>
                <w:pStyle w:val="Spistreci1"/>
                <w:tabs>
                  <w:tab w:val="left" w:pos="660"/>
                  <w:tab w:val="right" w:leader="dot" w:pos="9062"/>
                </w:tabs>
                <w:rPr>
                  <w:noProof/>
                </w:rPr>
              </w:pPr>
              <w:hyperlink w:anchor="_Toc321135323" w:history="1">
                <w:r w:rsidRPr="00542C99">
                  <w:rPr>
                    <w:rStyle w:val="Hipercze"/>
                    <w:rFonts w:cs="Tahoma"/>
                    <w:noProof/>
                  </w:rPr>
                  <w:t>III.</w:t>
                </w:r>
                <w:r>
                  <w:rPr>
                    <w:noProof/>
                  </w:rPr>
                  <w:tab/>
                </w:r>
                <w:r w:rsidRPr="00542C99">
                  <w:rPr>
                    <w:rStyle w:val="Hipercze"/>
                    <w:rFonts w:cs="Tahoma"/>
                    <w:noProof/>
                  </w:rPr>
                  <w:t>Metodyka opracowania dokumentu</w:t>
                </w:r>
                <w:r>
                  <w:rPr>
                    <w:noProof/>
                    <w:webHidden/>
                  </w:rPr>
                  <w:tab/>
                </w:r>
                <w:r>
                  <w:rPr>
                    <w:noProof/>
                    <w:webHidden/>
                  </w:rPr>
                  <w:fldChar w:fldCharType="begin"/>
                </w:r>
                <w:r>
                  <w:rPr>
                    <w:noProof/>
                    <w:webHidden/>
                  </w:rPr>
                  <w:instrText xml:space="preserve"> PAGEREF _Toc321135323 \h </w:instrText>
                </w:r>
                <w:r>
                  <w:rPr>
                    <w:noProof/>
                    <w:webHidden/>
                  </w:rPr>
                </w:r>
                <w:r>
                  <w:rPr>
                    <w:noProof/>
                    <w:webHidden/>
                  </w:rPr>
                  <w:fldChar w:fldCharType="separate"/>
                </w:r>
                <w:r>
                  <w:rPr>
                    <w:noProof/>
                    <w:webHidden/>
                  </w:rPr>
                  <w:t>- 4 -</w:t>
                </w:r>
                <w:r>
                  <w:rPr>
                    <w:noProof/>
                    <w:webHidden/>
                  </w:rPr>
                  <w:fldChar w:fldCharType="end"/>
                </w:r>
              </w:hyperlink>
            </w:p>
            <w:p w:rsidR="0010206F" w:rsidRDefault="0010206F">
              <w:pPr>
                <w:pStyle w:val="Spistreci1"/>
                <w:tabs>
                  <w:tab w:val="left" w:pos="660"/>
                  <w:tab w:val="right" w:leader="dot" w:pos="9062"/>
                </w:tabs>
                <w:rPr>
                  <w:noProof/>
                </w:rPr>
              </w:pPr>
              <w:hyperlink w:anchor="_Toc321135324" w:history="1">
                <w:r w:rsidRPr="00542C99">
                  <w:rPr>
                    <w:rStyle w:val="Hipercze"/>
                    <w:rFonts w:cs="Tahoma"/>
                    <w:noProof/>
                  </w:rPr>
                  <w:t>IV.</w:t>
                </w:r>
                <w:r>
                  <w:rPr>
                    <w:noProof/>
                  </w:rPr>
                  <w:tab/>
                </w:r>
                <w:r w:rsidRPr="00542C99">
                  <w:rPr>
                    <w:rStyle w:val="Hipercze"/>
                    <w:rFonts w:cs="Tahoma"/>
                    <w:noProof/>
                  </w:rPr>
                  <w:t>Diagnoza sytuacji społeczno-gospodarczej gminy Pobiedziska</w:t>
                </w:r>
                <w:r>
                  <w:rPr>
                    <w:noProof/>
                    <w:webHidden/>
                  </w:rPr>
                  <w:tab/>
                </w:r>
                <w:r>
                  <w:rPr>
                    <w:noProof/>
                    <w:webHidden/>
                  </w:rPr>
                  <w:fldChar w:fldCharType="begin"/>
                </w:r>
                <w:r>
                  <w:rPr>
                    <w:noProof/>
                    <w:webHidden/>
                  </w:rPr>
                  <w:instrText xml:space="preserve"> PAGEREF _Toc321135324 \h </w:instrText>
                </w:r>
                <w:r>
                  <w:rPr>
                    <w:noProof/>
                    <w:webHidden/>
                  </w:rPr>
                </w:r>
                <w:r>
                  <w:rPr>
                    <w:noProof/>
                    <w:webHidden/>
                  </w:rPr>
                  <w:fldChar w:fldCharType="separate"/>
                </w:r>
                <w:r>
                  <w:rPr>
                    <w:noProof/>
                    <w:webHidden/>
                  </w:rPr>
                  <w:t>- 4 -</w:t>
                </w:r>
                <w:r>
                  <w:rPr>
                    <w:noProof/>
                    <w:webHidden/>
                  </w:rPr>
                  <w:fldChar w:fldCharType="end"/>
                </w:r>
              </w:hyperlink>
            </w:p>
            <w:p w:rsidR="0010206F" w:rsidRDefault="0010206F">
              <w:pPr>
                <w:pStyle w:val="Spistreci2"/>
                <w:tabs>
                  <w:tab w:val="right" w:leader="dot" w:pos="9062"/>
                </w:tabs>
                <w:rPr>
                  <w:noProof/>
                  <w:lang w:eastAsia="pl-PL"/>
                </w:rPr>
              </w:pPr>
              <w:hyperlink w:anchor="_Toc321135325" w:history="1">
                <w:r w:rsidRPr="00542C99">
                  <w:rPr>
                    <w:rStyle w:val="Hipercze"/>
                    <w:noProof/>
                  </w:rPr>
                  <w:t>4.1 Ocena oddziaływania i aktualności założeń dotychczasowej strategii</w:t>
                </w:r>
                <w:r>
                  <w:rPr>
                    <w:noProof/>
                    <w:webHidden/>
                  </w:rPr>
                  <w:tab/>
                </w:r>
                <w:r>
                  <w:rPr>
                    <w:noProof/>
                    <w:webHidden/>
                  </w:rPr>
                  <w:fldChar w:fldCharType="begin"/>
                </w:r>
                <w:r>
                  <w:rPr>
                    <w:noProof/>
                    <w:webHidden/>
                  </w:rPr>
                  <w:instrText xml:space="preserve"> PAGEREF _Toc321135325 \h </w:instrText>
                </w:r>
                <w:r>
                  <w:rPr>
                    <w:noProof/>
                    <w:webHidden/>
                  </w:rPr>
                </w:r>
                <w:r>
                  <w:rPr>
                    <w:noProof/>
                    <w:webHidden/>
                  </w:rPr>
                  <w:fldChar w:fldCharType="separate"/>
                </w:r>
                <w:r>
                  <w:rPr>
                    <w:noProof/>
                    <w:webHidden/>
                  </w:rPr>
                  <w:t>- 4 -</w:t>
                </w:r>
                <w:r>
                  <w:rPr>
                    <w:noProof/>
                    <w:webHidden/>
                  </w:rPr>
                  <w:fldChar w:fldCharType="end"/>
                </w:r>
              </w:hyperlink>
            </w:p>
            <w:p w:rsidR="0010206F" w:rsidRDefault="0010206F">
              <w:pPr>
                <w:pStyle w:val="Spistreci2"/>
                <w:tabs>
                  <w:tab w:val="right" w:leader="dot" w:pos="9062"/>
                </w:tabs>
                <w:rPr>
                  <w:noProof/>
                  <w:lang w:eastAsia="pl-PL"/>
                </w:rPr>
              </w:pPr>
              <w:hyperlink w:anchor="_Toc321135326" w:history="1">
                <w:r w:rsidRPr="00542C99">
                  <w:rPr>
                    <w:rStyle w:val="Hipercze"/>
                    <w:noProof/>
                  </w:rPr>
                  <w:t>4.3 Analiza procesów demograficznych i ich wpływu na prognozowany rozwój społeczno-gospodarczy gminy i regionu</w:t>
                </w:r>
                <w:r>
                  <w:rPr>
                    <w:noProof/>
                    <w:webHidden/>
                  </w:rPr>
                  <w:tab/>
                </w:r>
                <w:r>
                  <w:rPr>
                    <w:noProof/>
                    <w:webHidden/>
                  </w:rPr>
                  <w:fldChar w:fldCharType="begin"/>
                </w:r>
                <w:r>
                  <w:rPr>
                    <w:noProof/>
                    <w:webHidden/>
                  </w:rPr>
                  <w:instrText xml:space="preserve"> PAGEREF _Toc321135326 \h </w:instrText>
                </w:r>
                <w:r>
                  <w:rPr>
                    <w:noProof/>
                    <w:webHidden/>
                  </w:rPr>
                </w:r>
                <w:r>
                  <w:rPr>
                    <w:noProof/>
                    <w:webHidden/>
                  </w:rPr>
                  <w:fldChar w:fldCharType="separate"/>
                </w:r>
                <w:r>
                  <w:rPr>
                    <w:noProof/>
                    <w:webHidden/>
                  </w:rPr>
                  <w:t>- 5 -</w:t>
                </w:r>
                <w:r>
                  <w:rPr>
                    <w:noProof/>
                    <w:webHidden/>
                  </w:rPr>
                  <w:fldChar w:fldCharType="end"/>
                </w:r>
              </w:hyperlink>
            </w:p>
            <w:p w:rsidR="0010206F" w:rsidRDefault="0010206F">
              <w:pPr>
                <w:pStyle w:val="Spistreci2"/>
                <w:tabs>
                  <w:tab w:val="right" w:leader="dot" w:pos="9062"/>
                </w:tabs>
                <w:rPr>
                  <w:noProof/>
                  <w:lang w:eastAsia="pl-PL"/>
                </w:rPr>
              </w:pPr>
              <w:hyperlink w:anchor="_Toc321135327" w:history="1">
                <w:r w:rsidRPr="00542C99">
                  <w:rPr>
                    <w:rStyle w:val="Hipercze"/>
                    <w:noProof/>
                  </w:rPr>
                  <w:t>4.4 Analiza struktury zatrudnienia i rynku pracy w mieście i regionie</w:t>
                </w:r>
                <w:r>
                  <w:rPr>
                    <w:noProof/>
                    <w:webHidden/>
                  </w:rPr>
                  <w:tab/>
                </w:r>
                <w:r>
                  <w:rPr>
                    <w:noProof/>
                    <w:webHidden/>
                  </w:rPr>
                  <w:fldChar w:fldCharType="begin"/>
                </w:r>
                <w:r>
                  <w:rPr>
                    <w:noProof/>
                    <w:webHidden/>
                  </w:rPr>
                  <w:instrText xml:space="preserve"> PAGEREF _Toc321135327 \h </w:instrText>
                </w:r>
                <w:r>
                  <w:rPr>
                    <w:noProof/>
                    <w:webHidden/>
                  </w:rPr>
                </w:r>
                <w:r>
                  <w:rPr>
                    <w:noProof/>
                    <w:webHidden/>
                  </w:rPr>
                  <w:fldChar w:fldCharType="separate"/>
                </w:r>
                <w:r>
                  <w:rPr>
                    <w:noProof/>
                    <w:webHidden/>
                  </w:rPr>
                  <w:t>- 8 -</w:t>
                </w:r>
                <w:r>
                  <w:rPr>
                    <w:noProof/>
                    <w:webHidden/>
                  </w:rPr>
                  <w:fldChar w:fldCharType="end"/>
                </w:r>
              </w:hyperlink>
            </w:p>
            <w:p w:rsidR="0010206F" w:rsidRDefault="0010206F">
              <w:pPr>
                <w:pStyle w:val="Spistreci1"/>
                <w:tabs>
                  <w:tab w:val="left" w:pos="440"/>
                  <w:tab w:val="right" w:leader="dot" w:pos="9062"/>
                </w:tabs>
                <w:rPr>
                  <w:noProof/>
                </w:rPr>
              </w:pPr>
              <w:hyperlink w:anchor="_Toc321135328" w:history="1">
                <w:r w:rsidRPr="00542C99">
                  <w:rPr>
                    <w:rStyle w:val="Hipercze"/>
                    <w:rFonts w:cs="Tahoma"/>
                    <w:noProof/>
                  </w:rPr>
                  <w:t>V.</w:t>
                </w:r>
                <w:r>
                  <w:rPr>
                    <w:noProof/>
                  </w:rPr>
                  <w:tab/>
                </w:r>
                <w:r w:rsidRPr="00542C99">
                  <w:rPr>
                    <w:rStyle w:val="Hipercze"/>
                    <w:rFonts w:cs="Tahoma"/>
                    <w:noProof/>
                  </w:rPr>
                  <w:t>Ogólna charakterystyka gminy</w:t>
                </w:r>
                <w:r>
                  <w:rPr>
                    <w:noProof/>
                    <w:webHidden/>
                  </w:rPr>
                  <w:tab/>
                </w:r>
                <w:r>
                  <w:rPr>
                    <w:noProof/>
                    <w:webHidden/>
                  </w:rPr>
                  <w:fldChar w:fldCharType="begin"/>
                </w:r>
                <w:r>
                  <w:rPr>
                    <w:noProof/>
                    <w:webHidden/>
                  </w:rPr>
                  <w:instrText xml:space="preserve"> PAGEREF _Toc321135328 \h </w:instrText>
                </w:r>
                <w:r>
                  <w:rPr>
                    <w:noProof/>
                    <w:webHidden/>
                  </w:rPr>
                </w:r>
                <w:r>
                  <w:rPr>
                    <w:noProof/>
                    <w:webHidden/>
                  </w:rPr>
                  <w:fldChar w:fldCharType="separate"/>
                </w:r>
                <w:r>
                  <w:rPr>
                    <w:noProof/>
                    <w:webHidden/>
                  </w:rPr>
                  <w:t>- 13 -</w:t>
                </w:r>
                <w:r>
                  <w:rPr>
                    <w:noProof/>
                    <w:webHidden/>
                  </w:rPr>
                  <w:fldChar w:fldCharType="end"/>
                </w:r>
              </w:hyperlink>
            </w:p>
            <w:p w:rsidR="0010206F" w:rsidRDefault="0010206F">
              <w:pPr>
                <w:pStyle w:val="Spistreci2"/>
                <w:tabs>
                  <w:tab w:val="right" w:leader="dot" w:pos="9062"/>
                </w:tabs>
                <w:rPr>
                  <w:noProof/>
                  <w:lang w:eastAsia="pl-PL"/>
                </w:rPr>
              </w:pPr>
              <w:hyperlink w:anchor="_Toc321135329" w:history="1">
                <w:r w:rsidRPr="00542C99">
                  <w:rPr>
                    <w:rStyle w:val="Hipercze"/>
                    <w:noProof/>
                  </w:rPr>
                  <w:t>5.1 Oświata i informatyzacja</w:t>
                </w:r>
                <w:r>
                  <w:rPr>
                    <w:noProof/>
                    <w:webHidden/>
                  </w:rPr>
                  <w:tab/>
                </w:r>
                <w:r>
                  <w:rPr>
                    <w:noProof/>
                    <w:webHidden/>
                  </w:rPr>
                  <w:fldChar w:fldCharType="begin"/>
                </w:r>
                <w:r>
                  <w:rPr>
                    <w:noProof/>
                    <w:webHidden/>
                  </w:rPr>
                  <w:instrText xml:space="preserve"> PAGEREF _Toc321135329 \h </w:instrText>
                </w:r>
                <w:r>
                  <w:rPr>
                    <w:noProof/>
                    <w:webHidden/>
                  </w:rPr>
                </w:r>
                <w:r>
                  <w:rPr>
                    <w:noProof/>
                    <w:webHidden/>
                  </w:rPr>
                  <w:fldChar w:fldCharType="separate"/>
                </w:r>
                <w:r>
                  <w:rPr>
                    <w:noProof/>
                    <w:webHidden/>
                  </w:rPr>
                  <w:t>- 13 -</w:t>
                </w:r>
                <w:r>
                  <w:rPr>
                    <w:noProof/>
                    <w:webHidden/>
                  </w:rPr>
                  <w:fldChar w:fldCharType="end"/>
                </w:r>
              </w:hyperlink>
            </w:p>
            <w:p w:rsidR="0010206F" w:rsidRDefault="0010206F">
              <w:pPr>
                <w:pStyle w:val="Spistreci2"/>
                <w:tabs>
                  <w:tab w:val="right" w:leader="dot" w:pos="9062"/>
                </w:tabs>
                <w:rPr>
                  <w:noProof/>
                  <w:lang w:eastAsia="pl-PL"/>
                </w:rPr>
              </w:pPr>
              <w:hyperlink w:anchor="_Toc321135330" w:history="1">
                <w:r w:rsidRPr="00542C99">
                  <w:rPr>
                    <w:rStyle w:val="Hipercze"/>
                    <w:noProof/>
                  </w:rPr>
                  <w:t>5.2 Infrastruktura techniczna</w:t>
                </w:r>
                <w:r>
                  <w:rPr>
                    <w:noProof/>
                    <w:webHidden/>
                  </w:rPr>
                  <w:tab/>
                </w:r>
                <w:r>
                  <w:rPr>
                    <w:noProof/>
                    <w:webHidden/>
                  </w:rPr>
                  <w:fldChar w:fldCharType="begin"/>
                </w:r>
                <w:r>
                  <w:rPr>
                    <w:noProof/>
                    <w:webHidden/>
                  </w:rPr>
                  <w:instrText xml:space="preserve"> PAGEREF _Toc321135330 \h </w:instrText>
                </w:r>
                <w:r>
                  <w:rPr>
                    <w:noProof/>
                    <w:webHidden/>
                  </w:rPr>
                </w:r>
                <w:r>
                  <w:rPr>
                    <w:noProof/>
                    <w:webHidden/>
                  </w:rPr>
                  <w:fldChar w:fldCharType="separate"/>
                </w:r>
                <w:r>
                  <w:rPr>
                    <w:noProof/>
                    <w:webHidden/>
                  </w:rPr>
                  <w:t>- 16 -</w:t>
                </w:r>
                <w:r>
                  <w:rPr>
                    <w:noProof/>
                    <w:webHidden/>
                  </w:rPr>
                  <w:fldChar w:fldCharType="end"/>
                </w:r>
              </w:hyperlink>
            </w:p>
            <w:p w:rsidR="0010206F" w:rsidRDefault="0010206F">
              <w:pPr>
                <w:pStyle w:val="Spistreci2"/>
                <w:tabs>
                  <w:tab w:val="right" w:leader="dot" w:pos="9062"/>
                </w:tabs>
                <w:rPr>
                  <w:noProof/>
                  <w:lang w:eastAsia="pl-PL"/>
                </w:rPr>
              </w:pPr>
              <w:hyperlink w:anchor="_Toc321135331" w:history="1">
                <w:r w:rsidRPr="00542C99">
                  <w:rPr>
                    <w:rStyle w:val="Hipercze"/>
                    <w:noProof/>
                  </w:rPr>
                  <w:t>5.3 System komunikacji, transportu</w:t>
                </w:r>
                <w:r>
                  <w:rPr>
                    <w:noProof/>
                    <w:webHidden/>
                  </w:rPr>
                  <w:tab/>
                </w:r>
                <w:r>
                  <w:rPr>
                    <w:noProof/>
                    <w:webHidden/>
                  </w:rPr>
                  <w:fldChar w:fldCharType="begin"/>
                </w:r>
                <w:r>
                  <w:rPr>
                    <w:noProof/>
                    <w:webHidden/>
                  </w:rPr>
                  <w:instrText xml:space="preserve"> PAGEREF _Toc321135331 \h </w:instrText>
                </w:r>
                <w:r>
                  <w:rPr>
                    <w:noProof/>
                    <w:webHidden/>
                  </w:rPr>
                </w:r>
                <w:r>
                  <w:rPr>
                    <w:noProof/>
                    <w:webHidden/>
                  </w:rPr>
                  <w:fldChar w:fldCharType="separate"/>
                </w:r>
                <w:r>
                  <w:rPr>
                    <w:noProof/>
                    <w:webHidden/>
                  </w:rPr>
                  <w:t>- 20 -</w:t>
                </w:r>
                <w:r>
                  <w:rPr>
                    <w:noProof/>
                    <w:webHidden/>
                  </w:rPr>
                  <w:fldChar w:fldCharType="end"/>
                </w:r>
              </w:hyperlink>
            </w:p>
            <w:p w:rsidR="0010206F" w:rsidRDefault="0010206F">
              <w:pPr>
                <w:pStyle w:val="Spistreci2"/>
                <w:tabs>
                  <w:tab w:val="right" w:leader="dot" w:pos="9062"/>
                </w:tabs>
                <w:rPr>
                  <w:noProof/>
                  <w:lang w:eastAsia="pl-PL"/>
                </w:rPr>
              </w:pPr>
              <w:hyperlink w:anchor="_Toc321135332" w:history="1">
                <w:r w:rsidRPr="00542C99">
                  <w:rPr>
                    <w:rStyle w:val="Hipercze"/>
                    <w:noProof/>
                  </w:rPr>
                  <w:t>5.4 Środowisko naturalne</w:t>
                </w:r>
                <w:r>
                  <w:rPr>
                    <w:noProof/>
                    <w:webHidden/>
                  </w:rPr>
                  <w:tab/>
                </w:r>
                <w:r>
                  <w:rPr>
                    <w:noProof/>
                    <w:webHidden/>
                  </w:rPr>
                  <w:fldChar w:fldCharType="begin"/>
                </w:r>
                <w:r>
                  <w:rPr>
                    <w:noProof/>
                    <w:webHidden/>
                  </w:rPr>
                  <w:instrText xml:space="preserve"> PAGEREF _Toc321135332 \h </w:instrText>
                </w:r>
                <w:r>
                  <w:rPr>
                    <w:noProof/>
                    <w:webHidden/>
                  </w:rPr>
                </w:r>
                <w:r>
                  <w:rPr>
                    <w:noProof/>
                    <w:webHidden/>
                  </w:rPr>
                  <w:fldChar w:fldCharType="separate"/>
                </w:r>
                <w:r>
                  <w:rPr>
                    <w:noProof/>
                    <w:webHidden/>
                  </w:rPr>
                  <w:t>- 23 -</w:t>
                </w:r>
                <w:r>
                  <w:rPr>
                    <w:noProof/>
                    <w:webHidden/>
                  </w:rPr>
                  <w:fldChar w:fldCharType="end"/>
                </w:r>
              </w:hyperlink>
            </w:p>
            <w:p w:rsidR="0010206F" w:rsidRDefault="0010206F">
              <w:pPr>
                <w:pStyle w:val="Spistreci2"/>
                <w:tabs>
                  <w:tab w:val="right" w:leader="dot" w:pos="9062"/>
                </w:tabs>
                <w:rPr>
                  <w:noProof/>
                  <w:lang w:eastAsia="pl-PL"/>
                </w:rPr>
              </w:pPr>
              <w:hyperlink w:anchor="_Toc321135333" w:history="1">
                <w:r w:rsidRPr="00542C99">
                  <w:rPr>
                    <w:rStyle w:val="Hipercze"/>
                    <w:noProof/>
                  </w:rPr>
                  <w:t>5.6 Analiza finansowa miasta</w:t>
                </w:r>
                <w:r>
                  <w:rPr>
                    <w:noProof/>
                    <w:webHidden/>
                  </w:rPr>
                  <w:tab/>
                </w:r>
                <w:r>
                  <w:rPr>
                    <w:noProof/>
                    <w:webHidden/>
                  </w:rPr>
                  <w:fldChar w:fldCharType="begin"/>
                </w:r>
                <w:r>
                  <w:rPr>
                    <w:noProof/>
                    <w:webHidden/>
                  </w:rPr>
                  <w:instrText xml:space="preserve"> PAGEREF _Toc321135333 \h </w:instrText>
                </w:r>
                <w:r>
                  <w:rPr>
                    <w:noProof/>
                    <w:webHidden/>
                  </w:rPr>
                </w:r>
                <w:r>
                  <w:rPr>
                    <w:noProof/>
                    <w:webHidden/>
                  </w:rPr>
                  <w:fldChar w:fldCharType="separate"/>
                </w:r>
                <w:r>
                  <w:rPr>
                    <w:noProof/>
                    <w:webHidden/>
                  </w:rPr>
                  <w:t>- 27 -</w:t>
                </w:r>
                <w:r>
                  <w:rPr>
                    <w:noProof/>
                    <w:webHidden/>
                  </w:rPr>
                  <w:fldChar w:fldCharType="end"/>
                </w:r>
              </w:hyperlink>
            </w:p>
            <w:p w:rsidR="0010206F" w:rsidRDefault="0010206F">
              <w:pPr>
                <w:pStyle w:val="Spistreci2"/>
                <w:tabs>
                  <w:tab w:val="right" w:leader="dot" w:pos="9062"/>
                </w:tabs>
                <w:rPr>
                  <w:noProof/>
                  <w:lang w:eastAsia="pl-PL"/>
                </w:rPr>
              </w:pPr>
              <w:hyperlink w:anchor="_Toc321135334" w:history="1">
                <w:r w:rsidRPr="00542C99">
                  <w:rPr>
                    <w:rStyle w:val="Hipercze"/>
                    <w:noProof/>
                  </w:rPr>
                  <w:t>5.7 Podmioty gospodarcze</w:t>
                </w:r>
                <w:r>
                  <w:rPr>
                    <w:noProof/>
                    <w:webHidden/>
                  </w:rPr>
                  <w:tab/>
                </w:r>
                <w:r>
                  <w:rPr>
                    <w:noProof/>
                    <w:webHidden/>
                  </w:rPr>
                  <w:fldChar w:fldCharType="begin"/>
                </w:r>
                <w:r>
                  <w:rPr>
                    <w:noProof/>
                    <w:webHidden/>
                  </w:rPr>
                  <w:instrText xml:space="preserve"> PAGEREF _Toc321135334 \h </w:instrText>
                </w:r>
                <w:r>
                  <w:rPr>
                    <w:noProof/>
                    <w:webHidden/>
                  </w:rPr>
                </w:r>
                <w:r>
                  <w:rPr>
                    <w:noProof/>
                    <w:webHidden/>
                  </w:rPr>
                  <w:fldChar w:fldCharType="separate"/>
                </w:r>
                <w:r>
                  <w:rPr>
                    <w:noProof/>
                    <w:webHidden/>
                  </w:rPr>
                  <w:t>- 32 -</w:t>
                </w:r>
                <w:r>
                  <w:rPr>
                    <w:noProof/>
                    <w:webHidden/>
                  </w:rPr>
                  <w:fldChar w:fldCharType="end"/>
                </w:r>
              </w:hyperlink>
            </w:p>
            <w:p w:rsidR="0010206F" w:rsidRDefault="0010206F">
              <w:pPr>
                <w:pStyle w:val="Spistreci2"/>
                <w:tabs>
                  <w:tab w:val="right" w:leader="dot" w:pos="9062"/>
                </w:tabs>
                <w:rPr>
                  <w:noProof/>
                  <w:lang w:eastAsia="pl-PL"/>
                </w:rPr>
              </w:pPr>
              <w:hyperlink w:anchor="_Toc321135335" w:history="1">
                <w:r w:rsidRPr="00542C99">
                  <w:rPr>
                    <w:rStyle w:val="Hipercze"/>
                    <w:noProof/>
                  </w:rPr>
                  <w:t>5.8 Gospodarka mieszkaniowa</w:t>
                </w:r>
                <w:r>
                  <w:rPr>
                    <w:noProof/>
                    <w:webHidden/>
                  </w:rPr>
                  <w:tab/>
                </w:r>
                <w:r>
                  <w:rPr>
                    <w:noProof/>
                    <w:webHidden/>
                  </w:rPr>
                  <w:fldChar w:fldCharType="begin"/>
                </w:r>
                <w:r>
                  <w:rPr>
                    <w:noProof/>
                    <w:webHidden/>
                  </w:rPr>
                  <w:instrText xml:space="preserve"> PAGEREF _Toc321135335 \h </w:instrText>
                </w:r>
                <w:r>
                  <w:rPr>
                    <w:noProof/>
                    <w:webHidden/>
                  </w:rPr>
                </w:r>
                <w:r>
                  <w:rPr>
                    <w:noProof/>
                    <w:webHidden/>
                  </w:rPr>
                  <w:fldChar w:fldCharType="separate"/>
                </w:r>
                <w:r>
                  <w:rPr>
                    <w:noProof/>
                    <w:webHidden/>
                  </w:rPr>
                  <w:t>- 35 -</w:t>
                </w:r>
                <w:r>
                  <w:rPr>
                    <w:noProof/>
                    <w:webHidden/>
                  </w:rPr>
                  <w:fldChar w:fldCharType="end"/>
                </w:r>
              </w:hyperlink>
            </w:p>
            <w:p w:rsidR="0010206F" w:rsidRDefault="0010206F">
              <w:pPr>
                <w:pStyle w:val="Spistreci2"/>
                <w:tabs>
                  <w:tab w:val="right" w:leader="dot" w:pos="9062"/>
                </w:tabs>
                <w:rPr>
                  <w:noProof/>
                  <w:lang w:eastAsia="pl-PL"/>
                </w:rPr>
              </w:pPr>
              <w:hyperlink w:anchor="_Toc321135336" w:history="1">
                <w:r w:rsidRPr="00542C99">
                  <w:rPr>
                    <w:rStyle w:val="Hipercze"/>
                    <w:noProof/>
                  </w:rPr>
                  <w:t>5.9 Kultura</w:t>
                </w:r>
                <w:r>
                  <w:rPr>
                    <w:noProof/>
                    <w:webHidden/>
                  </w:rPr>
                  <w:tab/>
                </w:r>
                <w:r>
                  <w:rPr>
                    <w:noProof/>
                    <w:webHidden/>
                  </w:rPr>
                  <w:fldChar w:fldCharType="begin"/>
                </w:r>
                <w:r>
                  <w:rPr>
                    <w:noProof/>
                    <w:webHidden/>
                  </w:rPr>
                  <w:instrText xml:space="preserve"> PAGEREF _Toc321135336 \h </w:instrText>
                </w:r>
                <w:r>
                  <w:rPr>
                    <w:noProof/>
                    <w:webHidden/>
                  </w:rPr>
                </w:r>
                <w:r>
                  <w:rPr>
                    <w:noProof/>
                    <w:webHidden/>
                  </w:rPr>
                  <w:fldChar w:fldCharType="separate"/>
                </w:r>
                <w:r>
                  <w:rPr>
                    <w:noProof/>
                    <w:webHidden/>
                  </w:rPr>
                  <w:t>- 36 -</w:t>
                </w:r>
                <w:r>
                  <w:rPr>
                    <w:noProof/>
                    <w:webHidden/>
                  </w:rPr>
                  <w:fldChar w:fldCharType="end"/>
                </w:r>
              </w:hyperlink>
            </w:p>
            <w:p w:rsidR="0010206F" w:rsidRDefault="0010206F">
              <w:pPr>
                <w:pStyle w:val="Spistreci2"/>
                <w:tabs>
                  <w:tab w:val="right" w:leader="dot" w:pos="9062"/>
                </w:tabs>
                <w:rPr>
                  <w:noProof/>
                  <w:lang w:eastAsia="pl-PL"/>
                </w:rPr>
              </w:pPr>
              <w:hyperlink w:anchor="_Toc321135337" w:history="1">
                <w:r w:rsidRPr="00542C99">
                  <w:rPr>
                    <w:rStyle w:val="Hipercze"/>
                    <w:noProof/>
                  </w:rPr>
                  <w:t>5.10 Turystyka, sport i rekreacja</w:t>
                </w:r>
                <w:r>
                  <w:rPr>
                    <w:noProof/>
                    <w:webHidden/>
                  </w:rPr>
                  <w:tab/>
                </w:r>
                <w:r>
                  <w:rPr>
                    <w:noProof/>
                    <w:webHidden/>
                  </w:rPr>
                  <w:fldChar w:fldCharType="begin"/>
                </w:r>
                <w:r>
                  <w:rPr>
                    <w:noProof/>
                    <w:webHidden/>
                  </w:rPr>
                  <w:instrText xml:space="preserve"> PAGEREF _Toc321135337 \h </w:instrText>
                </w:r>
                <w:r>
                  <w:rPr>
                    <w:noProof/>
                    <w:webHidden/>
                  </w:rPr>
                </w:r>
                <w:r>
                  <w:rPr>
                    <w:noProof/>
                    <w:webHidden/>
                  </w:rPr>
                  <w:fldChar w:fldCharType="separate"/>
                </w:r>
                <w:r>
                  <w:rPr>
                    <w:noProof/>
                    <w:webHidden/>
                  </w:rPr>
                  <w:t>- 39 -</w:t>
                </w:r>
                <w:r>
                  <w:rPr>
                    <w:noProof/>
                    <w:webHidden/>
                  </w:rPr>
                  <w:fldChar w:fldCharType="end"/>
                </w:r>
              </w:hyperlink>
            </w:p>
            <w:p w:rsidR="0010206F" w:rsidRDefault="0010206F">
              <w:pPr>
                <w:pStyle w:val="Spistreci2"/>
                <w:tabs>
                  <w:tab w:val="right" w:leader="dot" w:pos="9062"/>
                </w:tabs>
                <w:rPr>
                  <w:noProof/>
                  <w:lang w:eastAsia="pl-PL"/>
                </w:rPr>
              </w:pPr>
              <w:hyperlink w:anchor="_Toc321135338" w:history="1">
                <w:r w:rsidRPr="00542C99">
                  <w:rPr>
                    <w:rStyle w:val="Hipercze"/>
                    <w:noProof/>
                  </w:rPr>
                  <w:t>5.11 Ochrona zdrowia i opieka społeczna</w:t>
                </w:r>
                <w:r>
                  <w:rPr>
                    <w:noProof/>
                    <w:webHidden/>
                  </w:rPr>
                  <w:tab/>
                </w:r>
                <w:r>
                  <w:rPr>
                    <w:noProof/>
                    <w:webHidden/>
                  </w:rPr>
                  <w:fldChar w:fldCharType="begin"/>
                </w:r>
                <w:r>
                  <w:rPr>
                    <w:noProof/>
                    <w:webHidden/>
                  </w:rPr>
                  <w:instrText xml:space="preserve"> PAGEREF _Toc321135338 \h </w:instrText>
                </w:r>
                <w:r>
                  <w:rPr>
                    <w:noProof/>
                    <w:webHidden/>
                  </w:rPr>
                </w:r>
                <w:r>
                  <w:rPr>
                    <w:noProof/>
                    <w:webHidden/>
                  </w:rPr>
                  <w:fldChar w:fldCharType="separate"/>
                </w:r>
                <w:r>
                  <w:rPr>
                    <w:noProof/>
                    <w:webHidden/>
                  </w:rPr>
                  <w:t>- 42 -</w:t>
                </w:r>
                <w:r>
                  <w:rPr>
                    <w:noProof/>
                    <w:webHidden/>
                  </w:rPr>
                  <w:fldChar w:fldCharType="end"/>
                </w:r>
              </w:hyperlink>
            </w:p>
            <w:p w:rsidR="0010206F" w:rsidRDefault="0010206F">
              <w:pPr>
                <w:pStyle w:val="Spistreci2"/>
                <w:tabs>
                  <w:tab w:val="right" w:leader="dot" w:pos="9062"/>
                </w:tabs>
                <w:rPr>
                  <w:noProof/>
                  <w:lang w:eastAsia="pl-PL"/>
                </w:rPr>
              </w:pPr>
              <w:hyperlink w:anchor="_Toc321135339" w:history="1">
                <w:r w:rsidRPr="00542C99">
                  <w:rPr>
                    <w:rStyle w:val="Hipercze"/>
                    <w:noProof/>
                  </w:rPr>
                  <w:t>5. 12 Instytucje otoczenia biznesu</w:t>
                </w:r>
                <w:r>
                  <w:rPr>
                    <w:noProof/>
                    <w:webHidden/>
                  </w:rPr>
                  <w:tab/>
                </w:r>
                <w:r>
                  <w:rPr>
                    <w:noProof/>
                    <w:webHidden/>
                  </w:rPr>
                  <w:fldChar w:fldCharType="begin"/>
                </w:r>
                <w:r>
                  <w:rPr>
                    <w:noProof/>
                    <w:webHidden/>
                  </w:rPr>
                  <w:instrText xml:space="preserve"> PAGEREF _Toc321135339 \h </w:instrText>
                </w:r>
                <w:r>
                  <w:rPr>
                    <w:noProof/>
                    <w:webHidden/>
                  </w:rPr>
                </w:r>
                <w:r>
                  <w:rPr>
                    <w:noProof/>
                    <w:webHidden/>
                  </w:rPr>
                  <w:fldChar w:fldCharType="separate"/>
                </w:r>
                <w:r>
                  <w:rPr>
                    <w:noProof/>
                    <w:webHidden/>
                  </w:rPr>
                  <w:t>- 45 -</w:t>
                </w:r>
                <w:r>
                  <w:rPr>
                    <w:noProof/>
                    <w:webHidden/>
                  </w:rPr>
                  <w:fldChar w:fldCharType="end"/>
                </w:r>
              </w:hyperlink>
            </w:p>
            <w:p w:rsidR="0010206F" w:rsidRDefault="0010206F">
              <w:pPr>
                <w:pStyle w:val="Spistreci2"/>
                <w:tabs>
                  <w:tab w:val="right" w:leader="dot" w:pos="9062"/>
                </w:tabs>
                <w:rPr>
                  <w:noProof/>
                  <w:lang w:eastAsia="pl-PL"/>
                </w:rPr>
              </w:pPr>
              <w:hyperlink w:anchor="_Toc321135340" w:history="1">
                <w:r w:rsidRPr="00542C99">
                  <w:rPr>
                    <w:rStyle w:val="Hipercze"/>
                    <w:noProof/>
                  </w:rPr>
                  <w:t>5. 13 Bezpieczeństwo publiczne</w:t>
                </w:r>
                <w:r>
                  <w:rPr>
                    <w:noProof/>
                    <w:webHidden/>
                  </w:rPr>
                  <w:tab/>
                </w:r>
                <w:r>
                  <w:rPr>
                    <w:noProof/>
                    <w:webHidden/>
                  </w:rPr>
                  <w:fldChar w:fldCharType="begin"/>
                </w:r>
                <w:r>
                  <w:rPr>
                    <w:noProof/>
                    <w:webHidden/>
                  </w:rPr>
                  <w:instrText xml:space="preserve"> PAGEREF _Toc321135340 \h </w:instrText>
                </w:r>
                <w:r>
                  <w:rPr>
                    <w:noProof/>
                    <w:webHidden/>
                  </w:rPr>
                </w:r>
                <w:r>
                  <w:rPr>
                    <w:noProof/>
                    <w:webHidden/>
                  </w:rPr>
                  <w:fldChar w:fldCharType="separate"/>
                </w:r>
                <w:r>
                  <w:rPr>
                    <w:noProof/>
                    <w:webHidden/>
                  </w:rPr>
                  <w:t>- 46 -</w:t>
                </w:r>
                <w:r>
                  <w:rPr>
                    <w:noProof/>
                    <w:webHidden/>
                  </w:rPr>
                  <w:fldChar w:fldCharType="end"/>
                </w:r>
              </w:hyperlink>
            </w:p>
            <w:p w:rsidR="0010206F" w:rsidRDefault="0010206F">
              <w:pPr>
                <w:pStyle w:val="Spistreci2"/>
                <w:tabs>
                  <w:tab w:val="right" w:leader="dot" w:pos="9062"/>
                </w:tabs>
                <w:rPr>
                  <w:noProof/>
                  <w:lang w:eastAsia="pl-PL"/>
                </w:rPr>
              </w:pPr>
              <w:hyperlink w:anchor="_Toc321135341" w:history="1">
                <w:r w:rsidRPr="00542C99">
                  <w:rPr>
                    <w:rStyle w:val="Hipercze"/>
                    <w:noProof/>
                  </w:rPr>
                  <w:t>5. 14 Analiza położenia gminy, analiza przestrzenna, struktura władania gruntami</w:t>
                </w:r>
                <w:r>
                  <w:rPr>
                    <w:noProof/>
                    <w:webHidden/>
                  </w:rPr>
                  <w:tab/>
                </w:r>
                <w:r>
                  <w:rPr>
                    <w:noProof/>
                    <w:webHidden/>
                  </w:rPr>
                  <w:fldChar w:fldCharType="begin"/>
                </w:r>
                <w:r>
                  <w:rPr>
                    <w:noProof/>
                    <w:webHidden/>
                  </w:rPr>
                  <w:instrText xml:space="preserve"> PAGEREF _Toc321135341 \h </w:instrText>
                </w:r>
                <w:r>
                  <w:rPr>
                    <w:noProof/>
                    <w:webHidden/>
                  </w:rPr>
                </w:r>
                <w:r>
                  <w:rPr>
                    <w:noProof/>
                    <w:webHidden/>
                  </w:rPr>
                  <w:fldChar w:fldCharType="separate"/>
                </w:r>
                <w:r>
                  <w:rPr>
                    <w:noProof/>
                    <w:webHidden/>
                  </w:rPr>
                  <w:t>- 48 -</w:t>
                </w:r>
                <w:r>
                  <w:rPr>
                    <w:noProof/>
                    <w:webHidden/>
                  </w:rPr>
                  <w:fldChar w:fldCharType="end"/>
                </w:r>
              </w:hyperlink>
            </w:p>
            <w:p w:rsidR="0010206F" w:rsidRDefault="0010206F">
              <w:pPr>
                <w:pStyle w:val="Spistreci1"/>
                <w:tabs>
                  <w:tab w:val="left" w:pos="660"/>
                  <w:tab w:val="right" w:leader="dot" w:pos="9062"/>
                </w:tabs>
                <w:rPr>
                  <w:noProof/>
                </w:rPr>
              </w:pPr>
              <w:hyperlink w:anchor="_Toc321135342" w:history="1">
                <w:r w:rsidRPr="00542C99">
                  <w:rPr>
                    <w:rStyle w:val="Hipercze"/>
                    <w:noProof/>
                  </w:rPr>
                  <w:t>VI.</w:t>
                </w:r>
                <w:r>
                  <w:rPr>
                    <w:noProof/>
                  </w:rPr>
                  <w:tab/>
                </w:r>
                <w:r w:rsidRPr="00542C99">
                  <w:rPr>
                    <w:rStyle w:val="Hipercze"/>
                    <w:noProof/>
                  </w:rPr>
                  <w:t>Analiza dokumentów sprawozdawczych</w:t>
                </w:r>
                <w:r>
                  <w:rPr>
                    <w:noProof/>
                    <w:webHidden/>
                  </w:rPr>
                  <w:tab/>
                </w:r>
                <w:r>
                  <w:rPr>
                    <w:noProof/>
                    <w:webHidden/>
                  </w:rPr>
                  <w:fldChar w:fldCharType="begin"/>
                </w:r>
                <w:r>
                  <w:rPr>
                    <w:noProof/>
                    <w:webHidden/>
                  </w:rPr>
                  <w:instrText xml:space="preserve"> PAGEREF _Toc321135342 \h </w:instrText>
                </w:r>
                <w:r>
                  <w:rPr>
                    <w:noProof/>
                    <w:webHidden/>
                  </w:rPr>
                </w:r>
                <w:r>
                  <w:rPr>
                    <w:noProof/>
                    <w:webHidden/>
                  </w:rPr>
                  <w:fldChar w:fldCharType="separate"/>
                </w:r>
                <w:r>
                  <w:rPr>
                    <w:noProof/>
                    <w:webHidden/>
                  </w:rPr>
                  <w:t>- 51 -</w:t>
                </w:r>
                <w:r>
                  <w:rPr>
                    <w:noProof/>
                    <w:webHidden/>
                  </w:rPr>
                  <w:fldChar w:fldCharType="end"/>
                </w:r>
              </w:hyperlink>
            </w:p>
            <w:p w:rsidR="0010206F" w:rsidRDefault="0010206F">
              <w:pPr>
                <w:pStyle w:val="Spistreci1"/>
                <w:tabs>
                  <w:tab w:val="left" w:pos="660"/>
                  <w:tab w:val="right" w:leader="dot" w:pos="9062"/>
                </w:tabs>
                <w:rPr>
                  <w:noProof/>
                </w:rPr>
              </w:pPr>
              <w:hyperlink w:anchor="_Toc321135343" w:history="1">
                <w:r w:rsidRPr="00542C99">
                  <w:rPr>
                    <w:rStyle w:val="Hipercze"/>
                    <w:rFonts w:cs="Tahoma"/>
                    <w:noProof/>
                  </w:rPr>
                  <w:t>VII.</w:t>
                </w:r>
                <w:r>
                  <w:rPr>
                    <w:noProof/>
                  </w:rPr>
                  <w:tab/>
                </w:r>
                <w:r w:rsidRPr="00542C99">
                  <w:rPr>
                    <w:rStyle w:val="Hipercze"/>
                    <w:rFonts w:cs="Tahoma"/>
                    <w:noProof/>
                  </w:rPr>
                  <w:t>Analiza dokumentów strategicznych</w:t>
                </w:r>
                <w:r>
                  <w:rPr>
                    <w:noProof/>
                    <w:webHidden/>
                  </w:rPr>
                  <w:tab/>
                </w:r>
                <w:r>
                  <w:rPr>
                    <w:noProof/>
                    <w:webHidden/>
                  </w:rPr>
                  <w:fldChar w:fldCharType="begin"/>
                </w:r>
                <w:r>
                  <w:rPr>
                    <w:noProof/>
                    <w:webHidden/>
                  </w:rPr>
                  <w:instrText xml:space="preserve"> PAGEREF _Toc321135343 \h </w:instrText>
                </w:r>
                <w:r>
                  <w:rPr>
                    <w:noProof/>
                    <w:webHidden/>
                  </w:rPr>
                </w:r>
                <w:r>
                  <w:rPr>
                    <w:noProof/>
                    <w:webHidden/>
                  </w:rPr>
                  <w:fldChar w:fldCharType="separate"/>
                </w:r>
                <w:r>
                  <w:rPr>
                    <w:noProof/>
                    <w:webHidden/>
                  </w:rPr>
                  <w:t>- 52 -</w:t>
                </w:r>
                <w:r>
                  <w:rPr>
                    <w:noProof/>
                    <w:webHidden/>
                  </w:rPr>
                  <w:fldChar w:fldCharType="end"/>
                </w:r>
              </w:hyperlink>
            </w:p>
            <w:p w:rsidR="0010206F" w:rsidRDefault="0010206F">
              <w:pPr>
                <w:pStyle w:val="Spistreci2"/>
                <w:tabs>
                  <w:tab w:val="right" w:leader="dot" w:pos="9062"/>
                </w:tabs>
                <w:rPr>
                  <w:noProof/>
                  <w:lang w:eastAsia="pl-PL"/>
                </w:rPr>
              </w:pPr>
              <w:hyperlink w:anchor="_Toc321135344" w:history="1">
                <w:r w:rsidRPr="00542C99">
                  <w:rPr>
                    <w:rStyle w:val="Hipercze"/>
                    <w:noProof/>
                  </w:rPr>
                  <w:t>6.1 Lokalne dokumenty strategiczne</w:t>
                </w:r>
                <w:r>
                  <w:rPr>
                    <w:noProof/>
                    <w:webHidden/>
                  </w:rPr>
                  <w:tab/>
                </w:r>
                <w:r>
                  <w:rPr>
                    <w:noProof/>
                    <w:webHidden/>
                  </w:rPr>
                  <w:fldChar w:fldCharType="begin"/>
                </w:r>
                <w:r>
                  <w:rPr>
                    <w:noProof/>
                    <w:webHidden/>
                  </w:rPr>
                  <w:instrText xml:space="preserve"> PAGEREF _Toc321135344 \h </w:instrText>
                </w:r>
                <w:r>
                  <w:rPr>
                    <w:noProof/>
                    <w:webHidden/>
                  </w:rPr>
                </w:r>
                <w:r>
                  <w:rPr>
                    <w:noProof/>
                    <w:webHidden/>
                  </w:rPr>
                  <w:fldChar w:fldCharType="separate"/>
                </w:r>
                <w:r>
                  <w:rPr>
                    <w:noProof/>
                    <w:webHidden/>
                  </w:rPr>
                  <w:t>- 52 -</w:t>
                </w:r>
                <w:r>
                  <w:rPr>
                    <w:noProof/>
                    <w:webHidden/>
                  </w:rPr>
                  <w:fldChar w:fldCharType="end"/>
                </w:r>
              </w:hyperlink>
            </w:p>
            <w:p w:rsidR="0010206F" w:rsidRDefault="0010206F">
              <w:pPr>
                <w:pStyle w:val="Spistreci2"/>
                <w:tabs>
                  <w:tab w:val="right" w:leader="dot" w:pos="9062"/>
                </w:tabs>
                <w:rPr>
                  <w:noProof/>
                  <w:lang w:eastAsia="pl-PL"/>
                </w:rPr>
              </w:pPr>
              <w:hyperlink w:anchor="_Toc321135345" w:history="1">
                <w:r w:rsidRPr="00542C99">
                  <w:rPr>
                    <w:rStyle w:val="Hipercze"/>
                    <w:rFonts w:cstheme="minorHAnsi"/>
                    <w:noProof/>
                  </w:rPr>
                  <w:t>6.2 Regionalne i krajowe dokumenty strategiczne</w:t>
                </w:r>
                <w:r>
                  <w:rPr>
                    <w:noProof/>
                    <w:webHidden/>
                  </w:rPr>
                  <w:tab/>
                </w:r>
                <w:r>
                  <w:rPr>
                    <w:noProof/>
                    <w:webHidden/>
                  </w:rPr>
                  <w:fldChar w:fldCharType="begin"/>
                </w:r>
                <w:r>
                  <w:rPr>
                    <w:noProof/>
                    <w:webHidden/>
                  </w:rPr>
                  <w:instrText xml:space="preserve"> PAGEREF _Toc321135345 \h </w:instrText>
                </w:r>
                <w:r>
                  <w:rPr>
                    <w:noProof/>
                    <w:webHidden/>
                  </w:rPr>
                </w:r>
                <w:r>
                  <w:rPr>
                    <w:noProof/>
                    <w:webHidden/>
                  </w:rPr>
                  <w:fldChar w:fldCharType="separate"/>
                </w:r>
                <w:r>
                  <w:rPr>
                    <w:noProof/>
                    <w:webHidden/>
                  </w:rPr>
                  <w:t>- 55 -</w:t>
                </w:r>
                <w:r>
                  <w:rPr>
                    <w:noProof/>
                    <w:webHidden/>
                  </w:rPr>
                  <w:fldChar w:fldCharType="end"/>
                </w:r>
              </w:hyperlink>
            </w:p>
            <w:p w:rsidR="0010206F" w:rsidRDefault="0010206F">
              <w:pPr>
                <w:pStyle w:val="Spistreci2"/>
                <w:tabs>
                  <w:tab w:val="right" w:leader="dot" w:pos="9062"/>
                </w:tabs>
                <w:rPr>
                  <w:noProof/>
                  <w:lang w:eastAsia="pl-PL"/>
                </w:rPr>
              </w:pPr>
              <w:hyperlink w:anchor="_Toc321135346" w:history="1">
                <w:r w:rsidRPr="00542C99">
                  <w:rPr>
                    <w:rStyle w:val="Hipercze"/>
                    <w:noProof/>
                  </w:rPr>
                  <w:t>6.3 Strategiczne dokumenty unijne</w:t>
                </w:r>
                <w:r>
                  <w:rPr>
                    <w:noProof/>
                    <w:webHidden/>
                  </w:rPr>
                  <w:tab/>
                </w:r>
                <w:r>
                  <w:rPr>
                    <w:noProof/>
                    <w:webHidden/>
                  </w:rPr>
                  <w:fldChar w:fldCharType="begin"/>
                </w:r>
                <w:r>
                  <w:rPr>
                    <w:noProof/>
                    <w:webHidden/>
                  </w:rPr>
                  <w:instrText xml:space="preserve"> PAGEREF _Toc321135346 \h </w:instrText>
                </w:r>
                <w:r>
                  <w:rPr>
                    <w:noProof/>
                    <w:webHidden/>
                  </w:rPr>
                </w:r>
                <w:r>
                  <w:rPr>
                    <w:noProof/>
                    <w:webHidden/>
                  </w:rPr>
                  <w:fldChar w:fldCharType="separate"/>
                </w:r>
                <w:r>
                  <w:rPr>
                    <w:noProof/>
                    <w:webHidden/>
                  </w:rPr>
                  <w:t>- 59 -</w:t>
                </w:r>
                <w:r>
                  <w:rPr>
                    <w:noProof/>
                    <w:webHidden/>
                  </w:rPr>
                  <w:fldChar w:fldCharType="end"/>
                </w:r>
              </w:hyperlink>
            </w:p>
            <w:p w:rsidR="0010206F" w:rsidRDefault="0010206F">
              <w:pPr>
                <w:pStyle w:val="Spistreci1"/>
                <w:tabs>
                  <w:tab w:val="left" w:pos="660"/>
                  <w:tab w:val="right" w:leader="dot" w:pos="9062"/>
                </w:tabs>
                <w:rPr>
                  <w:noProof/>
                </w:rPr>
              </w:pPr>
              <w:hyperlink w:anchor="_Toc321135347" w:history="1">
                <w:r w:rsidRPr="00542C99">
                  <w:rPr>
                    <w:rStyle w:val="Hipercze"/>
                    <w:rFonts w:cs="Tahoma"/>
                    <w:noProof/>
                  </w:rPr>
                  <w:t>VIII.</w:t>
                </w:r>
                <w:r>
                  <w:rPr>
                    <w:noProof/>
                  </w:rPr>
                  <w:tab/>
                </w:r>
                <w:r w:rsidRPr="00542C99">
                  <w:rPr>
                    <w:rStyle w:val="Hipercze"/>
                    <w:rFonts w:cs="Tahoma"/>
                    <w:noProof/>
                  </w:rPr>
                  <w:t>Analiza aktywności promocyjnej i marketingowej gminy</w:t>
                </w:r>
                <w:r>
                  <w:rPr>
                    <w:noProof/>
                    <w:webHidden/>
                  </w:rPr>
                  <w:tab/>
                </w:r>
                <w:r>
                  <w:rPr>
                    <w:noProof/>
                    <w:webHidden/>
                  </w:rPr>
                  <w:fldChar w:fldCharType="begin"/>
                </w:r>
                <w:r>
                  <w:rPr>
                    <w:noProof/>
                    <w:webHidden/>
                  </w:rPr>
                  <w:instrText xml:space="preserve"> PAGEREF _Toc321135347 \h </w:instrText>
                </w:r>
                <w:r>
                  <w:rPr>
                    <w:noProof/>
                    <w:webHidden/>
                  </w:rPr>
                </w:r>
                <w:r>
                  <w:rPr>
                    <w:noProof/>
                    <w:webHidden/>
                  </w:rPr>
                  <w:fldChar w:fldCharType="separate"/>
                </w:r>
                <w:r>
                  <w:rPr>
                    <w:noProof/>
                    <w:webHidden/>
                  </w:rPr>
                  <w:t>- 61 -</w:t>
                </w:r>
                <w:r>
                  <w:rPr>
                    <w:noProof/>
                    <w:webHidden/>
                  </w:rPr>
                  <w:fldChar w:fldCharType="end"/>
                </w:r>
              </w:hyperlink>
            </w:p>
            <w:p w:rsidR="0010206F" w:rsidRDefault="0010206F">
              <w:pPr>
                <w:pStyle w:val="Spistreci1"/>
                <w:tabs>
                  <w:tab w:val="left" w:pos="660"/>
                  <w:tab w:val="right" w:leader="dot" w:pos="9062"/>
                </w:tabs>
                <w:rPr>
                  <w:noProof/>
                </w:rPr>
              </w:pPr>
              <w:hyperlink w:anchor="_Toc321135348" w:history="1">
                <w:r w:rsidRPr="00542C99">
                  <w:rPr>
                    <w:rStyle w:val="Hipercze"/>
                    <w:rFonts w:cs="Tahoma"/>
                    <w:noProof/>
                  </w:rPr>
                  <w:t>IX.</w:t>
                </w:r>
                <w:r>
                  <w:rPr>
                    <w:noProof/>
                  </w:rPr>
                  <w:tab/>
                </w:r>
                <w:r w:rsidRPr="00542C99">
                  <w:rPr>
                    <w:rStyle w:val="Hipercze"/>
                    <w:rFonts w:cs="Tahoma"/>
                    <w:noProof/>
                  </w:rPr>
                  <w:t>Wyniki badań ankietowych</w:t>
                </w:r>
                <w:r>
                  <w:rPr>
                    <w:noProof/>
                    <w:webHidden/>
                  </w:rPr>
                  <w:tab/>
                </w:r>
                <w:r>
                  <w:rPr>
                    <w:noProof/>
                    <w:webHidden/>
                  </w:rPr>
                  <w:fldChar w:fldCharType="begin"/>
                </w:r>
                <w:r>
                  <w:rPr>
                    <w:noProof/>
                    <w:webHidden/>
                  </w:rPr>
                  <w:instrText xml:space="preserve"> PAGEREF _Toc321135348 \h </w:instrText>
                </w:r>
                <w:r>
                  <w:rPr>
                    <w:noProof/>
                    <w:webHidden/>
                  </w:rPr>
                </w:r>
                <w:r>
                  <w:rPr>
                    <w:noProof/>
                    <w:webHidden/>
                  </w:rPr>
                  <w:fldChar w:fldCharType="separate"/>
                </w:r>
                <w:r>
                  <w:rPr>
                    <w:noProof/>
                    <w:webHidden/>
                  </w:rPr>
                  <w:t>- 64 -</w:t>
                </w:r>
                <w:r>
                  <w:rPr>
                    <w:noProof/>
                    <w:webHidden/>
                  </w:rPr>
                  <w:fldChar w:fldCharType="end"/>
                </w:r>
              </w:hyperlink>
            </w:p>
            <w:p w:rsidR="0010206F" w:rsidRDefault="0010206F">
              <w:pPr>
                <w:pStyle w:val="Spistreci2"/>
                <w:tabs>
                  <w:tab w:val="right" w:leader="dot" w:pos="9062"/>
                </w:tabs>
                <w:rPr>
                  <w:noProof/>
                  <w:lang w:eastAsia="pl-PL"/>
                </w:rPr>
              </w:pPr>
              <w:hyperlink w:anchor="_Toc321135349" w:history="1">
                <w:r w:rsidRPr="00542C99">
                  <w:rPr>
                    <w:rStyle w:val="Hipercze"/>
                    <w:noProof/>
                  </w:rPr>
                  <w:t>9.1 Proces ankietyzacji</w:t>
                </w:r>
                <w:r>
                  <w:rPr>
                    <w:noProof/>
                    <w:webHidden/>
                  </w:rPr>
                  <w:tab/>
                </w:r>
                <w:r>
                  <w:rPr>
                    <w:noProof/>
                    <w:webHidden/>
                  </w:rPr>
                  <w:fldChar w:fldCharType="begin"/>
                </w:r>
                <w:r>
                  <w:rPr>
                    <w:noProof/>
                    <w:webHidden/>
                  </w:rPr>
                  <w:instrText xml:space="preserve"> PAGEREF _Toc321135349 \h </w:instrText>
                </w:r>
                <w:r>
                  <w:rPr>
                    <w:noProof/>
                    <w:webHidden/>
                  </w:rPr>
                </w:r>
                <w:r>
                  <w:rPr>
                    <w:noProof/>
                    <w:webHidden/>
                  </w:rPr>
                  <w:fldChar w:fldCharType="separate"/>
                </w:r>
                <w:r>
                  <w:rPr>
                    <w:noProof/>
                    <w:webHidden/>
                  </w:rPr>
                  <w:t>- 64 -</w:t>
                </w:r>
                <w:r>
                  <w:rPr>
                    <w:noProof/>
                    <w:webHidden/>
                  </w:rPr>
                  <w:fldChar w:fldCharType="end"/>
                </w:r>
              </w:hyperlink>
            </w:p>
            <w:p w:rsidR="0010206F" w:rsidRDefault="0010206F">
              <w:pPr>
                <w:pStyle w:val="Spistreci2"/>
                <w:tabs>
                  <w:tab w:val="right" w:leader="dot" w:pos="9062"/>
                </w:tabs>
                <w:rPr>
                  <w:noProof/>
                  <w:lang w:eastAsia="pl-PL"/>
                </w:rPr>
              </w:pPr>
              <w:hyperlink w:anchor="_Toc321135350" w:history="1">
                <w:r w:rsidRPr="00542C99">
                  <w:rPr>
                    <w:rStyle w:val="Hipercze"/>
                    <w:noProof/>
                  </w:rPr>
                  <w:t>9.2 Pobiedziska okiem mieszkańców gminy</w:t>
                </w:r>
                <w:r>
                  <w:rPr>
                    <w:noProof/>
                    <w:webHidden/>
                  </w:rPr>
                  <w:tab/>
                </w:r>
                <w:r>
                  <w:rPr>
                    <w:noProof/>
                    <w:webHidden/>
                  </w:rPr>
                  <w:fldChar w:fldCharType="begin"/>
                </w:r>
                <w:r>
                  <w:rPr>
                    <w:noProof/>
                    <w:webHidden/>
                  </w:rPr>
                  <w:instrText xml:space="preserve"> PAGEREF _Toc321135350 \h </w:instrText>
                </w:r>
                <w:r>
                  <w:rPr>
                    <w:noProof/>
                    <w:webHidden/>
                  </w:rPr>
                </w:r>
                <w:r>
                  <w:rPr>
                    <w:noProof/>
                    <w:webHidden/>
                  </w:rPr>
                  <w:fldChar w:fldCharType="separate"/>
                </w:r>
                <w:r>
                  <w:rPr>
                    <w:noProof/>
                    <w:webHidden/>
                  </w:rPr>
                  <w:t>- 64 -</w:t>
                </w:r>
                <w:r>
                  <w:rPr>
                    <w:noProof/>
                    <w:webHidden/>
                  </w:rPr>
                  <w:fldChar w:fldCharType="end"/>
                </w:r>
              </w:hyperlink>
            </w:p>
            <w:p w:rsidR="0010206F" w:rsidRDefault="0010206F">
              <w:pPr>
                <w:pStyle w:val="Spistreci2"/>
                <w:tabs>
                  <w:tab w:val="right" w:leader="dot" w:pos="9062"/>
                </w:tabs>
                <w:rPr>
                  <w:noProof/>
                  <w:lang w:eastAsia="pl-PL"/>
                </w:rPr>
              </w:pPr>
              <w:hyperlink w:anchor="_Toc321135351" w:history="1">
                <w:r w:rsidRPr="00542C99">
                  <w:rPr>
                    <w:rStyle w:val="Hipercze"/>
                    <w:noProof/>
                  </w:rPr>
                  <w:t>9.3 Pobiedziska okiem mieszkańców Poznania</w:t>
                </w:r>
                <w:r>
                  <w:rPr>
                    <w:noProof/>
                    <w:webHidden/>
                  </w:rPr>
                  <w:tab/>
                </w:r>
                <w:r>
                  <w:rPr>
                    <w:noProof/>
                    <w:webHidden/>
                  </w:rPr>
                  <w:fldChar w:fldCharType="begin"/>
                </w:r>
                <w:r>
                  <w:rPr>
                    <w:noProof/>
                    <w:webHidden/>
                  </w:rPr>
                  <w:instrText xml:space="preserve"> PAGEREF _Toc321135351 \h </w:instrText>
                </w:r>
                <w:r>
                  <w:rPr>
                    <w:noProof/>
                    <w:webHidden/>
                  </w:rPr>
                </w:r>
                <w:r>
                  <w:rPr>
                    <w:noProof/>
                    <w:webHidden/>
                  </w:rPr>
                  <w:fldChar w:fldCharType="separate"/>
                </w:r>
                <w:r>
                  <w:rPr>
                    <w:noProof/>
                    <w:webHidden/>
                  </w:rPr>
                  <w:t>- 86 -</w:t>
                </w:r>
                <w:r>
                  <w:rPr>
                    <w:noProof/>
                    <w:webHidden/>
                  </w:rPr>
                  <w:fldChar w:fldCharType="end"/>
                </w:r>
              </w:hyperlink>
            </w:p>
            <w:p w:rsidR="0010206F" w:rsidRDefault="0010206F">
              <w:pPr>
                <w:pStyle w:val="Spistreci2"/>
                <w:tabs>
                  <w:tab w:val="right" w:leader="dot" w:pos="9062"/>
                </w:tabs>
                <w:rPr>
                  <w:noProof/>
                  <w:lang w:eastAsia="pl-PL"/>
                </w:rPr>
              </w:pPr>
              <w:hyperlink w:anchor="_Toc321135352" w:history="1">
                <w:r w:rsidRPr="00542C99">
                  <w:rPr>
                    <w:rStyle w:val="Hipercze"/>
                    <w:noProof/>
                  </w:rPr>
                  <w:t>9.4 Pobiedziska okiem przedsiębiorców</w:t>
                </w:r>
                <w:r>
                  <w:rPr>
                    <w:noProof/>
                    <w:webHidden/>
                  </w:rPr>
                  <w:tab/>
                </w:r>
                <w:r>
                  <w:rPr>
                    <w:noProof/>
                    <w:webHidden/>
                  </w:rPr>
                  <w:fldChar w:fldCharType="begin"/>
                </w:r>
                <w:r>
                  <w:rPr>
                    <w:noProof/>
                    <w:webHidden/>
                  </w:rPr>
                  <w:instrText xml:space="preserve"> PAGEREF _Toc321135352 \h </w:instrText>
                </w:r>
                <w:r>
                  <w:rPr>
                    <w:noProof/>
                    <w:webHidden/>
                  </w:rPr>
                </w:r>
                <w:r>
                  <w:rPr>
                    <w:noProof/>
                    <w:webHidden/>
                  </w:rPr>
                  <w:fldChar w:fldCharType="separate"/>
                </w:r>
                <w:r>
                  <w:rPr>
                    <w:noProof/>
                    <w:webHidden/>
                  </w:rPr>
                  <w:t>- 92 -</w:t>
                </w:r>
                <w:r>
                  <w:rPr>
                    <w:noProof/>
                    <w:webHidden/>
                  </w:rPr>
                  <w:fldChar w:fldCharType="end"/>
                </w:r>
              </w:hyperlink>
            </w:p>
            <w:p w:rsidR="0010206F" w:rsidRDefault="0010206F">
              <w:pPr>
                <w:pStyle w:val="Spistreci2"/>
                <w:tabs>
                  <w:tab w:val="right" w:leader="dot" w:pos="9062"/>
                </w:tabs>
                <w:rPr>
                  <w:noProof/>
                  <w:lang w:eastAsia="pl-PL"/>
                </w:rPr>
              </w:pPr>
              <w:hyperlink w:anchor="_Toc321135353" w:history="1">
                <w:r w:rsidRPr="00542C99">
                  <w:rPr>
                    <w:rStyle w:val="Hipercze"/>
                    <w:noProof/>
                  </w:rPr>
                  <w:t>9.5 Konsultacje z gminami ościennymi</w:t>
                </w:r>
                <w:r>
                  <w:rPr>
                    <w:noProof/>
                    <w:webHidden/>
                  </w:rPr>
                  <w:tab/>
                </w:r>
                <w:r>
                  <w:rPr>
                    <w:noProof/>
                    <w:webHidden/>
                  </w:rPr>
                  <w:fldChar w:fldCharType="begin"/>
                </w:r>
                <w:r>
                  <w:rPr>
                    <w:noProof/>
                    <w:webHidden/>
                  </w:rPr>
                  <w:instrText xml:space="preserve"> PAGEREF _Toc321135353 \h </w:instrText>
                </w:r>
                <w:r>
                  <w:rPr>
                    <w:noProof/>
                    <w:webHidden/>
                  </w:rPr>
                </w:r>
                <w:r>
                  <w:rPr>
                    <w:noProof/>
                    <w:webHidden/>
                  </w:rPr>
                  <w:fldChar w:fldCharType="separate"/>
                </w:r>
                <w:r>
                  <w:rPr>
                    <w:noProof/>
                    <w:webHidden/>
                  </w:rPr>
                  <w:t>- 95 -</w:t>
                </w:r>
                <w:r>
                  <w:rPr>
                    <w:noProof/>
                    <w:webHidden/>
                  </w:rPr>
                  <w:fldChar w:fldCharType="end"/>
                </w:r>
              </w:hyperlink>
            </w:p>
            <w:p w:rsidR="0010206F" w:rsidRDefault="0010206F">
              <w:pPr>
                <w:pStyle w:val="Spistreci1"/>
                <w:tabs>
                  <w:tab w:val="left" w:pos="440"/>
                  <w:tab w:val="right" w:leader="dot" w:pos="9062"/>
                </w:tabs>
                <w:rPr>
                  <w:noProof/>
                </w:rPr>
              </w:pPr>
              <w:hyperlink w:anchor="_Toc321135354" w:history="1">
                <w:r w:rsidRPr="00542C99">
                  <w:rPr>
                    <w:rStyle w:val="Hipercze"/>
                    <w:rFonts w:cs="Tahoma"/>
                    <w:noProof/>
                  </w:rPr>
                  <w:t>X.</w:t>
                </w:r>
                <w:r>
                  <w:rPr>
                    <w:noProof/>
                  </w:rPr>
                  <w:tab/>
                </w:r>
                <w:r w:rsidRPr="00542C99">
                  <w:rPr>
                    <w:rStyle w:val="Hipercze"/>
                    <w:rFonts w:cs="Tahoma"/>
                    <w:noProof/>
                  </w:rPr>
                  <w:t>Analiza SWOT</w:t>
                </w:r>
                <w:r>
                  <w:rPr>
                    <w:noProof/>
                    <w:webHidden/>
                  </w:rPr>
                  <w:tab/>
                </w:r>
                <w:r>
                  <w:rPr>
                    <w:noProof/>
                    <w:webHidden/>
                  </w:rPr>
                  <w:fldChar w:fldCharType="begin"/>
                </w:r>
                <w:r>
                  <w:rPr>
                    <w:noProof/>
                    <w:webHidden/>
                  </w:rPr>
                  <w:instrText xml:space="preserve"> PAGEREF _Toc321135354 \h </w:instrText>
                </w:r>
                <w:r>
                  <w:rPr>
                    <w:noProof/>
                    <w:webHidden/>
                  </w:rPr>
                </w:r>
                <w:r>
                  <w:rPr>
                    <w:noProof/>
                    <w:webHidden/>
                  </w:rPr>
                  <w:fldChar w:fldCharType="separate"/>
                </w:r>
                <w:r>
                  <w:rPr>
                    <w:noProof/>
                    <w:webHidden/>
                  </w:rPr>
                  <w:t>- 97 -</w:t>
                </w:r>
                <w:r>
                  <w:rPr>
                    <w:noProof/>
                    <w:webHidden/>
                  </w:rPr>
                  <w:fldChar w:fldCharType="end"/>
                </w:r>
              </w:hyperlink>
            </w:p>
            <w:p w:rsidR="0010206F" w:rsidRDefault="0010206F">
              <w:pPr>
                <w:pStyle w:val="Spistreci1"/>
                <w:tabs>
                  <w:tab w:val="left" w:pos="660"/>
                  <w:tab w:val="right" w:leader="dot" w:pos="9062"/>
                </w:tabs>
                <w:rPr>
                  <w:noProof/>
                </w:rPr>
              </w:pPr>
              <w:hyperlink w:anchor="_Toc321135355" w:history="1">
                <w:r w:rsidRPr="00542C99">
                  <w:rPr>
                    <w:rStyle w:val="Hipercze"/>
                    <w:rFonts w:cs="Tahoma"/>
                    <w:noProof/>
                  </w:rPr>
                  <w:t>XI.</w:t>
                </w:r>
                <w:r>
                  <w:rPr>
                    <w:noProof/>
                  </w:rPr>
                  <w:tab/>
                </w:r>
                <w:r w:rsidRPr="00542C99">
                  <w:rPr>
                    <w:rStyle w:val="Hipercze"/>
                    <w:rFonts w:cs="Tahoma"/>
                    <w:noProof/>
                  </w:rPr>
                  <w:t>Misja i wizja rozwoju gminy</w:t>
                </w:r>
                <w:r>
                  <w:rPr>
                    <w:noProof/>
                    <w:webHidden/>
                  </w:rPr>
                  <w:tab/>
                </w:r>
                <w:r>
                  <w:rPr>
                    <w:noProof/>
                    <w:webHidden/>
                  </w:rPr>
                  <w:fldChar w:fldCharType="begin"/>
                </w:r>
                <w:r>
                  <w:rPr>
                    <w:noProof/>
                    <w:webHidden/>
                  </w:rPr>
                  <w:instrText xml:space="preserve"> PAGEREF _Toc321135355 \h </w:instrText>
                </w:r>
                <w:r>
                  <w:rPr>
                    <w:noProof/>
                    <w:webHidden/>
                  </w:rPr>
                </w:r>
                <w:r>
                  <w:rPr>
                    <w:noProof/>
                    <w:webHidden/>
                  </w:rPr>
                  <w:fldChar w:fldCharType="separate"/>
                </w:r>
                <w:r>
                  <w:rPr>
                    <w:noProof/>
                    <w:webHidden/>
                  </w:rPr>
                  <w:t>- 97 -</w:t>
                </w:r>
                <w:r>
                  <w:rPr>
                    <w:noProof/>
                    <w:webHidden/>
                  </w:rPr>
                  <w:fldChar w:fldCharType="end"/>
                </w:r>
              </w:hyperlink>
            </w:p>
            <w:p w:rsidR="0010206F" w:rsidRDefault="0010206F">
              <w:pPr>
                <w:pStyle w:val="Spistreci1"/>
                <w:tabs>
                  <w:tab w:val="left" w:pos="660"/>
                  <w:tab w:val="right" w:leader="dot" w:pos="9062"/>
                </w:tabs>
                <w:rPr>
                  <w:noProof/>
                </w:rPr>
              </w:pPr>
              <w:hyperlink w:anchor="_Toc321135356" w:history="1">
                <w:r w:rsidRPr="00542C99">
                  <w:rPr>
                    <w:rStyle w:val="Hipercze"/>
                    <w:rFonts w:cs="Tahoma"/>
                    <w:noProof/>
                  </w:rPr>
                  <w:t>XII.</w:t>
                </w:r>
                <w:r>
                  <w:rPr>
                    <w:noProof/>
                  </w:rPr>
                  <w:tab/>
                </w:r>
                <w:r w:rsidRPr="00542C99">
                  <w:rPr>
                    <w:rStyle w:val="Hipercze"/>
                    <w:rFonts w:cs="Tahoma"/>
                    <w:noProof/>
                  </w:rPr>
                  <w:t>Cele strategiczne i operacyjne</w:t>
                </w:r>
                <w:r>
                  <w:rPr>
                    <w:noProof/>
                    <w:webHidden/>
                  </w:rPr>
                  <w:tab/>
                </w:r>
                <w:r>
                  <w:rPr>
                    <w:noProof/>
                    <w:webHidden/>
                  </w:rPr>
                  <w:fldChar w:fldCharType="begin"/>
                </w:r>
                <w:r>
                  <w:rPr>
                    <w:noProof/>
                    <w:webHidden/>
                  </w:rPr>
                  <w:instrText xml:space="preserve"> PAGEREF _Toc321135356 \h </w:instrText>
                </w:r>
                <w:r>
                  <w:rPr>
                    <w:noProof/>
                    <w:webHidden/>
                  </w:rPr>
                </w:r>
                <w:r>
                  <w:rPr>
                    <w:noProof/>
                    <w:webHidden/>
                  </w:rPr>
                  <w:fldChar w:fldCharType="separate"/>
                </w:r>
                <w:r>
                  <w:rPr>
                    <w:noProof/>
                    <w:webHidden/>
                  </w:rPr>
                  <w:t>- 97 -</w:t>
                </w:r>
                <w:r>
                  <w:rPr>
                    <w:noProof/>
                    <w:webHidden/>
                  </w:rPr>
                  <w:fldChar w:fldCharType="end"/>
                </w:r>
              </w:hyperlink>
            </w:p>
            <w:p w:rsidR="0010206F" w:rsidRDefault="0010206F">
              <w:pPr>
                <w:pStyle w:val="Spistreci1"/>
                <w:tabs>
                  <w:tab w:val="left" w:pos="660"/>
                  <w:tab w:val="right" w:leader="dot" w:pos="9062"/>
                </w:tabs>
                <w:rPr>
                  <w:noProof/>
                </w:rPr>
              </w:pPr>
              <w:hyperlink w:anchor="_Toc321135357" w:history="1">
                <w:r w:rsidRPr="00542C99">
                  <w:rPr>
                    <w:rStyle w:val="Hipercze"/>
                    <w:rFonts w:cs="Tahoma"/>
                    <w:noProof/>
                  </w:rPr>
                  <w:t>XIII.</w:t>
                </w:r>
                <w:r>
                  <w:rPr>
                    <w:noProof/>
                  </w:rPr>
                  <w:tab/>
                </w:r>
                <w:r w:rsidRPr="00542C99">
                  <w:rPr>
                    <w:rStyle w:val="Hipercze"/>
                    <w:rFonts w:cs="Tahoma"/>
                    <w:noProof/>
                  </w:rPr>
                  <w:t>Priorytety rozwoju gminy</w:t>
                </w:r>
                <w:r>
                  <w:rPr>
                    <w:noProof/>
                    <w:webHidden/>
                  </w:rPr>
                  <w:tab/>
                </w:r>
                <w:r>
                  <w:rPr>
                    <w:noProof/>
                    <w:webHidden/>
                  </w:rPr>
                  <w:fldChar w:fldCharType="begin"/>
                </w:r>
                <w:r>
                  <w:rPr>
                    <w:noProof/>
                    <w:webHidden/>
                  </w:rPr>
                  <w:instrText xml:space="preserve"> PAGEREF _Toc321135357 \h </w:instrText>
                </w:r>
                <w:r>
                  <w:rPr>
                    <w:noProof/>
                    <w:webHidden/>
                  </w:rPr>
                </w:r>
                <w:r>
                  <w:rPr>
                    <w:noProof/>
                    <w:webHidden/>
                  </w:rPr>
                  <w:fldChar w:fldCharType="separate"/>
                </w:r>
                <w:r>
                  <w:rPr>
                    <w:noProof/>
                    <w:webHidden/>
                  </w:rPr>
                  <w:t>- 97 -</w:t>
                </w:r>
                <w:r>
                  <w:rPr>
                    <w:noProof/>
                    <w:webHidden/>
                  </w:rPr>
                  <w:fldChar w:fldCharType="end"/>
                </w:r>
              </w:hyperlink>
            </w:p>
            <w:p w:rsidR="0010206F" w:rsidRDefault="0010206F">
              <w:pPr>
                <w:pStyle w:val="Spistreci1"/>
                <w:tabs>
                  <w:tab w:val="left" w:pos="660"/>
                  <w:tab w:val="right" w:leader="dot" w:pos="9062"/>
                </w:tabs>
                <w:rPr>
                  <w:noProof/>
                </w:rPr>
              </w:pPr>
              <w:hyperlink w:anchor="_Toc321135358" w:history="1">
                <w:r w:rsidRPr="00542C99">
                  <w:rPr>
                    <w:rStyle w:val="Hipercze"/>
                    <w:rFonts w:cs="Tahoma"/>
                    <w:noProof/>
                  </w:rPr>
                  <w:t>XIV.</w:t>
                </w:r>
                <w:r>
                  <w:rPr>
                    <w:noProof/>
                  </w:rPr>
                  <w:tab/>
                </w:r>
                <w:r w:rsidRPr="00542C99">
                  <w:rPr>
                    <w:rStyle w:val="Hipercze"/>
                    <w:rFonts w:cs="Tahoma"/>
                    <w:noProof/>
                  </w:rPr>
                  <w:t>Zadania strategiczne</w:t>
                </w:r>
                <w:r>
                  <w:rPr>
                    <w:noProof/>
                    <w:webHidden/>
                  </w:rPr>
                  <w:tab/>
                </w:r>
                <w:r>
                  <w:rPr>
                    <w:noProof/>
                    <w:webHidden/>
                  </w:rPr>
                  <w:fldChar w:fldCharType="begin"/>
                </w:r>
                <w:r>
                  <w:rPr>
                    <w:noProof/>
                    <w:webHidden/>
                  </w:rPr>
                  <w:instrText xml:space="preserve"> PAGEREF _Toc321135358 \h </w:instrText>
                </w:r>
                <w:r>
                  <w:rPr>
                    <w:noProof/>
                    <w:webHidden/>
                  </w:rPr>
                </w:r>
                <w:r>
                  <w:rPr>
                    <w:noProof/>
                    <w:webHidden/>
                  </w:rPr>
                  <w:fldChar w:fldCharType="separate"/>
                </w:r>
                <w:r>
                  <w:rPr>
                    <w:noProof/>
                    <w:webHidden/>
                  </w:rPr>
                  <w:t>- 97 -</w:t>
                </w:r>
                <w:r>
                  <w:rPr>
                    <w:noProof/>
                    <w:webHidden/>
                  </w:rPr>
                  <w:fldChar w:fldCharType="end"/>
                </w:r>
              </w:hyperlink>
            </w:p>
            <w:p w:rsidR="0010206F" w:rsidRDefault="0010206F">
              <w:pPr>
                <w:pStyle w:val="Spistreci1"/>
                <w:tabs>
                  <w:tab w:val="left" w:pos="660"/>
                  <w:tab w:val="right" w:leader="dot" w:pos="9062"/>
                </w:tabs>
                <w:rPr>
                  <w:noProof/>
                </w:rPr>
              </w:pPr>
              <w:hyperlink w:anchor="_Toc321135359" w:history="1">
                <w:r w:rsidRPr="00542C99">
                  <w:rPr>
                    <w:rStyle w:val="Hipercze"/>
                    <w:rFonts w:cs="Tahoma"/>
                    <w:noProof/>
                  </w:rPr>
                  <w:t>XV.</w:t>
                </w:r>
                <w:r>
                  <w:rPr>
                    <w:noProof/>
                  </w:rPr>
                  <w:tab/>
                </w:r>
                <w:r w:rsidRPr="00542C99">
                  <w:rPr>
                    <w:rStyle w:val="Hipercze"/>
                    <w:rFonts w:cs="Tahoma"/>
                    <w:noProof/>
                  </w:rPr>
                  <w:t>System wdrażania</w:t>
                </w:r>
                <w:r>
                  <w:rPr>
                    <w:noProof/>
                    <w:webHidden/>
                  </w:rPr>
                  <w:tab/>
                </w:r>
                <w:r>
                  <w:rPr>
                    <w:noProof/>
                    <w:webHidden/>
                  </w:rPr>
                  <w:fldChar w:fldCharType="begin"/>
                </w:r>
                <w:r>
                  <w:rPr>
                    <w:noProof/>
                    <w:webHidden/>
                  </w:rPr>
                  <w:instrText xml:space="preserve"> PAGEREF _Toc321135359 \h </w:instrText>
                </w:r>
                <w:r>
                  <w:rPr>
                    <w:noProof/>
                    <w:webHidden/>
                  </w:rPr>
                </w:r>
                <w:r>
                  <w:rPr>
                    <w:noProof/>
                    <w:webHidden/>
                  </w:rPr>
                  <w:fldChar w:fldCharType="separate"/>
                </w:r>
                <w:r>
                  <w:rPr>
                    <w:noProof/>
                    <w:webHidden/>
                  </w:rPr>
                  <w:t>- 97 -</w:t>
                </w:r>
                <w:r>
                  <w:rPr>
                    <w:noProof/>
                    <w:webHidden/>
                  </w:rPr>
                  <w:fldChar w:fldCharType="end"/>
                </w:r>
              </w:hyperlink>
            </w:p>
            <w:p w:rsidR="0010206F" w:rsidRDefault="0010206F">
              <w:pPr>
                <w:pStyle w:val="Spistreci1"/>
                <w:tabs>
                  <w:tab w:val="left" w:pos="660"/>
                  <w:tab w:val="right" w:leader="dot" w:pos="9062"/>
                </w:tabs>
                <w:rPr>
                  <w:noProof/>
                </w:rPr>
              </w:pPr>
              <w:hyperlink w:anchor="_Toc321135360" w:history="1">
                <w:r w:rsidRPr="00542C99">
                  <w:rPr>
                    <w:rStyle w:val="Hipercze"/>
                    <w:rFonts w:cs="Tahoma"/>
                    <w:noProof/>
                  </w:rPr>
                  <w:t>XVI.</w:t>
                </w:r>
                <w:r>
                  <w:rPr>
                    <w:noProof/>
                  </w:rPr>
                  <w:tab/>
                </w:r>
                <w:r w:rsidRPr="00542C99">
                  <w:rPr>
                    <w:rStyle w:val="Hipercze"/>
                    <w:rFonts w:cs="Tahoma"/>
                    <w:noProof/>
                  </w:rPr>
                  <w:t>Monitoring i ewaluacja</w:t>
                </w:r>
                <w:r>
                  <w:rPr>
                    <w:noProof/>
                    <w:webHidden/>
                  </w:rPr>
                  <w:tab/>
                </w:r>
                <w:r>
                  <w:rPr>
                    <w:noProof/>
                    <w:webHidden/>
                  </w:rPr>
                  <w:fldChar w:fldCharType="begin"/>
                </w:r>
                <w:r>
                  <w:rPr>
                    <w:noProof/>
                    <w:webHidden/>
                  </w:rPr>
                  <w:instrText xml:space="preserve"> PAGEREF _Toc321135360 \h </w:instrText>
                </w:r>
                <w:r>
                  <w:rPr>
                    <w:noProof/>
                    <w:webHidden/>
                  </w:rPr>
                </w:r>
                <w:r>
                  <w:rPr>
                    <w:noProof/>
                    <w:webHidden/>
                  </w:rPr>
                  <w:fldChar w:fldCharType="separate"/>
                </w:r>
                <w:r>
                  <w:rPr>
                    <w:noProof/>
                    <w:webHidden/>
                  </w:rPr>
                  <w:t>- 97 -</w:t>
                </w:r>
                <w:r>
                  <w:rPr>
                    <w:noProof/>
                    <w:webHidden/>
                  </w:rPr>
                  <w:fldChar w:fldCharType="end"/>
                </w:r>
              </w:hyperlink>
            </w:p>
            <w:p w:rsidR="00927DA9" w:rsidRPr="00885434" w:rsidRDefault="00E07640">
              <w:r w:rsidRPr="00885434">
                <w:fldChar w:fldCharType="end"/>
              </w:r>
            </w:p>
          </w:sdtContent>
        </w:sdt>
        <w:p w:rsidR="00927DA9" w:rsidRPr="00885434" w:rsidRDefault="00927DA9">
          <w:pPr>
            <w:rPr>
              <w:rFonts w:cs="Tahoma"/>
            </w:rPr>
          </w:pPr>
          <w:r w:rsidRPr="00885434">
            <w:rPr>
              <w:rFonts w:cs="Tahoma"/>
              <w:b/>
              <w:bCs/>
            </w:rPr>
            <w:br w:type="page"/>
          </w:r>
        </w:p>
      </w:sdtContent>
    </w:sdt>
    <w:p w:rsidR="00AD1FD8" w:rsidRDefault="00AD1FD8" w:rsidP="00E84FFC">
      <w:pPr>
        <w:pStyle w:val="Nagwek1"/>
        <w:numPr>
          <w:ilvl w:val="0"/>
          <w:numId w:val="1"/>
        </w:numPr>
        <w:rPr>
          <w:rFonts w:asciiTheme="minorHAnsi" w:hAnsiTheme="minorHAnsi" w:cs="Tahoma"/>
          <w:color w:val="943634" w:themeColor="accent2" w:themeShade="BF"/>
          <w:sz w:val="28"/>
        </w:rPr>
      </w:pPr>
      <w:bookmarkStart w:id="1" w:name="_Toc321135321"/>
      <w:r>
        <w:rPr>
          <w:rFonts w:asciiTheme="minorHAnsi" w:hAnsiTheme="minorHAnsi" w:cs="Tahoma"/>
          <w:color w:val="943634" w:themeColor="accent2" w:themeShade="BF"/>
          <w:sz w:val="28"/>
        </w:rPr>
        <w:lastRenderedPageBreak/>
        <w:t>Słowo wstępne</w:t>
      </w:r>
      <w:bookmarkEnd w:id="1"/>
    </w:p>
    <w:p w:rsidR="009A7ABC" w:rsidRPr="00E54966" w:rsidRDefault="009A7ABC" w:rsidP="00E84FFC">
      <w:pPr>
        <w:pStyle w:val="Nagwek1"/>
        <w:numPr>
          <w:ilvl w:val="0"/>
          <w:numId w:val="1"/>
        </w:numPr>
        <w:rPr>
          <w:rFonts w:asciiTheme="minorHAnsi" w:hAnsiTheme="minorHAnsi" w:cs="Tahoma"/>
          <w:color w:val="943634" w:themeColor="accent2" w:themeShade="BF"/>
          <w:sz w:val="28"/>
        </w:rPr>
      </w:pPr>
      <w:bookmarkStart w:id="2" w:name="_Toc321135322"/>
      <w:r w:rsidRPr="00AE3A7B">
        <w:rPr>
          <w:rFonts w:asciiTheme="minorHAnsi" w:hAnsiTheme="minorHAnsi" w:cs="Tahoma"/>
          <w:color w:val="943634" w:themeColor="accent2" w:themeShade="BF"/>
          <w:sz w:val="28"/>
        </w:rPr>
        <w:t>Wprowadzenie</w:t>
      </w:r>
      <w:bookmarkEnd w:id="0"/>
      <w:bookmarkEnd w:id="2"/>
    </w:p>
    <w:p w:rsidR="003D08EB" w:rsidRPr="00E54966" w:rsidRDefault="009A7ABC" w:rsidP="00E84FFC">
      <w:pPr>
        <w:pStyle w:val="Nagwek1"/>
        <w:numPr>
          <w:ilvl w:val="0"/>
          <w:numId w:val="1"/>
        </w:numPr>
        <w:rPr>
          <w:rFonts w:asciiTheme="minorHAnsi" w:hAnsiTheme="minorHAnsi" w:cs="Tahoma"/>
          <w:color w:val="943634" w:themeColor="accent2" w:themeShade="BF"/>
          <w:sz w:val="28"/>
        </w:rPr>
      </w:pPr>
      <w:bookmarkStart w:id="3" w:name="_Toc306028436"/>
      <w:bookmarkStart w:id="4" w:name="_Toc321135323"/>
      <w:r w:rsidRPr="00AE3A7B">
        <w:rPr>
          <w:rFonts w:asciiTheme="minorHAnsi" w:hAnsiTheme="minorHAnsi" w:cs="Tahoma"/>
          <w:color w:val="943634" w:themeColor="accent2" w:themeShade="BF"/>
          <w:sz w:val="28"/>
        </w:rPr>
        <w:t>Metodyka opracowania dokumentu</w:t>
      </w:r>
      <w:bookmarkEnd w:id="3"/>
      <w:bookmarkEnd w:id="4"/>
    </w:p>
    <w:p w:rsidR="009A7ABC" w:rsidRPr="00AE3A7B" w:rsidRDefault="009A7ABC" w:rsidP="00E84FFC">
      <w:pPr>
        <w:pStyle w:val="Nagwek1"/>
        <w:numPr>
          <w:ilvl w:val="0"/>
          <w:numId w:val="1"/>
        </w:numPr>
        <w:rPr>
          <w:rFonts w:asciiTheme="minorHAnsi" w:hAnsiTheme="minorHAnsi" w:cs="Tahoma"/>
          <w:color w:val="943634" w:themeColor="accent2" w:themeShade="BF"/>
          <w:sz w:val="28"/>
        </w:rPr>
      </w:pPr>
      <w:bookmarkStart w:id="5" w:name="_Toc306028437"/>
      <w:bookmarkStart w:id="6" w:name="_Toc321135324"/>
      <w:r w:rsidRPr="00AE3A7B">
        <w:rPr>
          <w:rFonts w:asciiTheme="minorHAnsi" w:hAnsiTheme="minorHAnsi" w:cs="Tahoma"/>
          <w:color w:val="943634" w:themeColor="accent2" w:themeShade="BF"/>
          <w:sz w:val="28"/>
        </w:rPr>
        <w:t xml:space="preserve">Diagnoza sytuacji społeczno-gospodarczej </w:t>
      </w:r>
      <w:bookmarkEnd w:id="5"/>
      <w:r w:rsidR="00FC2C86" w:rsidRPr="00AE3A7B">
        <w:rPr>
          <w:rFonts w:asciiTheme="minorHAnsi" w:hAnsiTheme="minorHAnsi" w:cs="Tahoma"/>
          <w:color w:val="943634" w:themeColor="accent2" w:themeShade="BF"/>
          <w:sz w:val="28"/>
        </w:rPr>
        <w:t>gminy Pobiedziska</w:t>
      </w:r>
      <w:bookmarkEnd w:id="6"/>
    </w:p>
    <w:p w:rsidR="009A7ABC" w:rsidRPr="00AE3A7B" w:rsidRDefault="00927DA9" w:rsidP="00927DA9">
      <w:pPr>
        <w:pStyle w:val="Nagwek2"/>
        <w:rPr>
          <w:rFonts w:asciiTheme="minorHAnsi" w:hAnsiTheme="minorHAnsi"/>
          <w:color w:val="943634" w:themeColor="accent2" w:themeShade="BF"/>
        </w:rPr>
      </w:pPr>
      <w:bookmarkStart w:id="7" w:name="_Toc321135325"/>
      <w:r w:rsidRPr="00AE3A7B">
        <w:rPr>
          <w:rFonts w:asciiTheme="minorHAnsi" w:hAnsiTheme="minorHAnsi"/>
          <w:color w:val="943634" w:themeColor="accent2" w:themeShade="BF"/>
        </w:rPr>
        <w:t xml:space="preserve">4.1 </w:t>
      </w:r>
      <w:r w:rsidR="009A7ABC" w:rsidRPr="00AE3A7B">
        <w:rPr>
          <w:rFonts w:asciiTheme="minorHAnsi" w:hAnsiTheme="minorHAnsi"/>
          <w:color w:val="943634" w:themeColor="accent2" w:themeShade="BF"/>
        </w:rPr>
        <w:t>Ocena oddziaływania i aktualności założeń dotychczasowej strategii</w:t>
      </w:r>
      <w:bookmarkEnd w:id="7"/>
    </w:p>
    <w:p w:rsidR="00C665D9" w:rsidRPr="00AE3A7B" w:rsidRDefault="00C665D9" w:rsidP="00FC2C86">
      <w:pPr>
        <w:autoSpaceDE w:val="0"/>
        <w:autoSpaceDN w:val="0"/>
        <w:adjustRightInd w:val="0"/>
        <w:spacing w:after="0"/>
        <w:jc w:val="both"/>
      </w:pPr>
      <w:r w:rsidRPr="00AE3A7B">
        <w:t>Dotychczas obowiązująca Strategia Rozwoju Miasta i Gminy Pobiedziska na lata 2003-2012 wymaga aktualizacji</w:t>
      </w:r>
      <w:r w:rsidR="00FC2C86" w:rsidRPr="00AE3A7B">
        <w:t>,</w:t>
      </w:r>
      <w:r w:rsidRPr="00AE3A7B">
        <w:t xml:space="preserve"> zarówno na etapie analizy strategicznej, jak i planowania strategicznego. Od czasu opracowania Strategii minęło wiele czasu, który odznaczał się różnego rodzaju zjawiskami makroekonomicznymi wpływającymi na r</w:t>
      </w:r>
      <w:r w:rsidR="00FC2C86" w:rsidRPr="00AE3A7B">
        <w:t>ozwój Pobiedzisk. Również sama g</w:t>
      </w:r>
      <w:r w:rsidRPr="00AE3A7B">
        <w:t xml:space="preserve">mina przeprowadziła szereg inwestycji, które obecnie warunkują stan rozwoju społecznego, gospodarczego </w:t>
      </w:r>
      <w:r w:rsidR="00315AE0">
        <w:br/>
      </w:r>
      <w:r w:rsidRPr="00AE3A7B">
        <w:t xml:space="preserve">i przestrzennego. Konkurencja pomiędzy </w:t>
      </w:r>
      <w:r w:rsidR="00FC2C86" w:rsidRPr="00AE3A7B">
        <w:t xml:space="preserve">podpoznańskimi </w:t>
      </w:r>
      <w:r w:rsidRPr="00AE3A7B">
        <w:t xml:space="preserve">gminami w pozyskiwaniu inwestorów rośnie, co wynika z działań podejmowanych przez poszczególne samorządy, ale przede wszystkim </w:t>
      </w:r>
      <w:r w:rsidR="00315AE0">
        <w:br/>
      </w:r>
      <w:r w:rsidRPr="00AE3A7B">
        <w:t>z trudnego okresu kryzysu globalnego, który ogranicza zdolności w podejmowaniu nowych inwestycji przez rodzime i w większym stopniu przez zagraniczne przedsiębiorstwa.</w:t>
      </w:r>
    </w:p>
    <w:p w:rsidR="00C665D9" w:rsidRPr="00AE3A7B" w:rsidRDefault="00C665D9" w:rsidP="00FC2C86">
      <w:pPr>
        <w:autoSpaceDE w:val="0"/>
        <w:autoSpaceDN w:val="0"/>
        <w:adjustRightInd w:val="0"/>
        <w:spacing w:after="0"/>
        <w:jc w:val="both"/>
      </w:pPr>
      <w:r w:rsidRPr="00AE3A7B">
        <w:t>W sformułowanej misji „Pobiedziska to atrakcyjna turystycznie gmina przyjazna mieszkańcom, gościom i inwestorom. Bazując na związkach z Poznaniem dążymy do podnoszenia poziomu życia mieszkańców oraz rozwijamy usługi rekreacyjne” zwrócono uwagę na możliwości rekreacyjne gminy, szczególnie możliwe do wykorzystania przy wzrastającej atrakcyjności działek położonych w okolicy istniejących tu jezior</w:t>
      </w:r>
      <w:r w:rsidR="0094268B" w:rsidRPr="00AE3A7B">
        <w:t>.</w:t>
      </w:r>
    </w:p>
    <w:p w:rsidR="0094268B" w:rsidRPr="00AE3A7B" w:rsidRDefault="0094268B" w:rsidP="00135F07">
      <w:pPr>
        <w:autoSpaceDE w:val="0"/>
        <w:autoSpaceDN w:val="0"/>
        <w:adjustRightInd w:val="0"/>
        <w:spacing w:after="0"/>
        <w:jc w:val="both"/>
      </w:pPr>
      <w:r w:rsidRPr="00AE3A7B">
        <w:t>W strategii wyróżniono trzy główne cele:</w:t>
      </w:r>
    </w:p>
    <w:p w:rsidR="0094268B" w:rsidRDefault="00FC2C86" w:rsidP="00135F07">
      <w:pPr>
        <w:pStyle w:val="Akapitzlist"/>
        <w:numPr>
          <w:ilvl w:val="0"/>
          <w:numId w:val="20"/>
        </w:numPr>
        <w:autoSpaceDE w:val="0"/>
        <w:autoSpaceDN w:val="0"/>
        <w:adjustRightInd w:val="0"/>
        <w:ind w:left="714" w:hanging="357"/>
        <w:jc w:val="both"/>
        <w:rPr>
          <w:rFonts w:asciiTheme="minorHAnsi" w:hAnsiTheme="minorHAnsi"/>
          <w:sz w:val="22"/>
          <w:szCs w:val="22"/>
        </w:rPr>
      </w:pPr>
      <w:r w:rsidRPr="00AE3A7B">
        <w:rPr>
          <w:rFonts w:asciiTheme="minorHAnsi" w:hAnsiTheme="minorHAnsi"/>
          <w:sz w:val="22"/>
          <w:szCs w:val="22"/>
        </w:rPr>
        <w:t>P</w:t>
      </w:r>
      <w:r w:rsidR="0094268B" w:rsidRPr="00AE3A7B">
        <w:rPr>
          <w:rFonts w:asciiTheme="minorHAnsi" w:hAnsiTheme="minorHAnsi"/>
          <w:sz w:val="22"/>
          <w:szCs w:val="22"/>
        </w:rPr>
        <w:t>opr</w:t>
      </w:r>
      <w:r w:rsidR="00B53320">
        <w:rPr>
          <w:rFonts w:asciiTheme="minorHAnsi" w:hAnsiTheme="minorHAnsi"/>
          <w:sz w:val="22"/>
          <w:szCs w:val="22"/>
        </w:rPr>
        <w:t>awa warunków życia mieszkańców</w:t>
      </w:r>
    </w:p>
    <w:p w:rsidR="00B53320" w:rsidRDefault="00B53320" w:rsidP="00135F07">
      <w:pPr>
        <w:autoSpaceDE w:val="0"/>
        <w:autoSpaceDN w:val="0"/>
        <w:adjustRightInd w:val="0"/>
        <w:spacing w:after="0"/>
        <w:ind w:left="993" w:hanging="142"/>
        <w:jc w:val="both"/>
      </w:pPr>
      <w:r>
        <w:t>Program 1.1. Drogi</w:t>
      </w:r>
    </w:p>
    <w:p w:rsidR="00B53320" w:rsidRDefault="00B53320" w:rsidP="00135F07">
      <w:pPr>
        <w:autoSpaceDE w:val="0"/>
        <w:autoSpaceDN w:val="0"/>
        <w:adjustRightInd w:val="0"/>
        <w:spacing w:after="0"/>
        <w:ind w:left="993" w:hanging="142"/>
        <w:jc w:val="both"/>
      </w:pPr>
      <w:r>
        <w:t>Program 1.2. Infrastruktura komunalna</w:t>
      </w:r>
    </w:p>
    <w:p w:rsidR="00B53320" w:rsidRDefault="00B53320" w:rsidP="00135F07">
      <w:pPr>
        <w:autoSpaceDE w:val="0"/>
        <w:autoSpaceDN w:val="0"/>
        <w:adjustRightInd w:val="0"/>
        <w:spacing w:after="0"/>
        <w:ind w:left="993" w:hanging="142"/>
        <w:jc w:val="both"/>
      </w:pPr>
      <w:r>
        <w:t>Program 1.3. Oświata i kultura</w:t>
      </w:r>
    </w:p>
    <w:p w:rsidR="00B53320" w:rsidRDefault="00B53320" w:rsidP="00135F07">
      <w:pPr>
        <w:autoSpaceDE w:val="0"/>
        <w:autoSpaceDN w:val="0"/>
        <w:adjustRightInd w:val="0"/>
        <w:spacing w:after="0"/>
        <w:ind w:left="993" w:hanging="142"/>
        <w:jc w:val="both"/>
      </w:pPr>
      <w:r>
        <w:t>Program 1.4. Opieka społeczna i zdrowotna</w:t>
      </w:r>
    </w:p>
    <w:p w:rsidR="00B53320" w:rsidRPr="00B53320" w:rsidRDefault="00B53320" w:rsidP="00135F07">
      <w:pPr>
        <w:autoSpaceDE w:val="0"/>
        <w:autoSpaceDN w:val="0"/>
        <w:adjustRightInd w:val="0"/>
        <w:spacing w:after="0"/>
        <w:ind w:left="993" w:hanging="142"/>
        <w:jc w:val="both"/>
      </w:pPr>
      <w:r>
        <w:t>Program 1.5. Bezpieczeństwo</w:t>
      </w:r>
    </w:p>
    <w:p w:rsidR="00B53320" w:rsidRDefault="00FC2C86" w:rsidP="00135F07">
      <w:pPr>
        <w:pStyle w:val="Akapitzlist"/>
        <w:numPr>
          <w:ilvl w:val="0"/>
          <w:numId w:val="20"/>
        </w:numPr>
        <w:autoSpaceDE w:val="0"/>
        <w:autoSpaceDN w:val="0"/>
        <w:adjustRightInd w:val="0"/>
        <w:ind w:left="714" w:hanging="357"/>
        <w:jc w:val="both"/>
        <w:rPr>
          <w:rFonts w:asciiTheme="minorHAnsi" w:hAnsiTheme="minorHAnsi"/>
          <w:sz w:val="22"/>
          <w:szCs w:val="22"/>
        </w:rPr>
      </w:pPr>
      <w:r w:rsidRPr="00AE3A7B">
        <w:rPr>
          <w:rFonts w:asciiTheme="minorHAnsi" w:hAnsiTheme="minorHAnsi"/>
          <w:sz w:val="22"/>
          <w:szCs w:val="22"/>
        </w:rPr>
        <w:t>W</w:t>
      </w:r>
      <w:r w:rsidR="0094268B" w:rsidRPr="00AE3A7B">
        <w:rPr>
          <w:rFonts w:asciiTheme="minorHAnsi" w:hAnsiTheme="minorHAnsi"/>
          <w:sz w:val="22"/>
          <w:szCs w:val="22"/>
        </w:rPr>
        <w:t>s</w:t>
      </w:r>
      <w:r w:rsidR="00B53320">
        <w:rPr>
          <w:rFonts w:asciiTheme="minorHAnsi" w:hAnsiTheme="minorHAnsi"/>
          <w:sz w:val="22"/>
          <w:szCs w:val="22"/>
        </w:rPr>
        <w:t>pieranie rozwoju gospodarczego</w:t>
      </w:r>
    </w:p>
    <w:p w:rsidR="00B53320" w:rsidRDefault="00B53320" w:rsidP="00135F07">
      <w:pPr>
        <w:autoSpaceDE w:val="0"/>
        <w:autoSpaceDN w:val="0"/>
        <w:adjustRightInd w:val="0"/>
        <w:spacing w:after="0"/>
        <w:ind w:left="851"/>
        <w:jc w:val="both"/>
      </w:pPr>
      <w:r>
        <w:t>Program 2.1. Wspieranie rozwoju przedsiębiorczości</w:t>
      </w:r>
    </w:p>
    <w:p w:rsidR="00B53320" w:rsidRPr="00B53320" w:rsidRDefault="00B53320" w:rsidP="00135F07">
      <w:pPr>
        <w:autoSpaceDE w:val="0"/>
        <w:autoSpaceDN w:val="0"/>
        <w:adjustRightInd w:val="0"/>
        <w:spacing w:after="0"/>
        <w:ind w:left="851"/>
        <w:jc w:val="both"/>
      </w:pPr>
      <w:r>
        <w:t>Program 2.2. Wspieranie rozwoju rolnictwa</w:t>
      </w:r>
    </w:p>
    <w:p w:rsidR="00CC2401" w:rsidRDefault="00FC2C86" w:rsidP="00135F07">
      <w:pPr>
        <w:pStyle w:val="Akapitzlist"/>
        <w:numPr>
          <w:ilvl w:val="0"/>
          <w:numId w:val="20"/>
        </w:numPr>
        <w:autoSpaceDE w:val="0"/>
        <w:autoSpaceDN w:val="0"/>
        <w:adjustRightInd w:val="0"/>
        <w:ind w:left="714" w:hanging="357"/>
        <w:jc w:val="both"/>
        <w:rPr>
          <w:rFonts w:asciiTheme="minorHAnsi" w:hAnsiTheme="minorHAnsi"/>
          <w:sz w:val="22"/>
          <w:szCs w:val="22"/>
        </w:rPr>
      </w:pPr>
      <w:r w:rsidRPr="00AE3A7B">
        <w:rPr>
          <w:rFonts w:asciiTheme="minorHAnsi" w:hAnsiTheme="minorHAnsi"/>
          <w:sz w:val="22"/>
          <w:szCs w:val="22"/>
        </w:rPr>
        <w:t>K</w:t>
      </w:r>
      <w:r w:rsidR="0094268B" w:rsidRPr="00AE3A7B">
        <w:rPr>
          <w:rFonts w:asciiTheme="minorHAnsi" w:hAnsiTheme="minorHAnsi"/>
          <w:sz w:val="22"/>
          <w:szCs w:val="22"/>
        </w:rPr>
        <w:t>reowanie wizerunku</w:t>
      </w:r>
      <w:r w:rsidR="00B53320">
        <w:rPr>
          <w:rFonts w:asciiTheme="minorHAnsi" w:hAnsiTheme="minorHAnsi"/>
          <w:sz w:val="22"/>
          <w:szCs w:val="22"/>
        </w:rPr>
        <w:t xml:space="preserve"> gminy turystyczno-rekreacyjnej</w:t>
      </w:r>
    </w:p>
    <w:p w:rsidR="00B53320" w:rsidRDefault="00B53320" w:rsidP="00135F07">
      <w:pPr>
        <w:autoSpaceDE w:val="0"/>
        <w:autoSpaceDN w:val="0"/>
        <w:adjustRightInd w:val="0"/>
        <w:spacing w:after="0"/>
        <w:ind w:left="851"/>
        <w:jc w:val="both"/>
      </w:pPr>
      <w:r>
        <w:t>Program 3.1. Rozwój infrastruktury turystyczno-rekreacyjnej</w:t>
      </w:r>
    </w:p>
    <w:p w:rsidR="00B53320" w:rsidRDefault="00B53320" w:rsidP="00135F07">
      <w:pPr>
        <w:autoSpaceDE w:val="0"/>
        <w:autoSpaceDN w:val="0"/>
        <w:adjustRightInd w:val="0"/>
        <w:spacing w:after="0"/>
        <w:ind w:left="851"/>
        <w:jc w:val="both"/>
      </w:pPr>
      <w:r>
        <w:t>Program 3.2. Promocja gminy</w:t>
      </w:r>
    </w:p>
    <w:p w:rsidR="006920F9" w:rsidRPr="00B53320" w:rsidRDefault="001B259B" w:rsidP="006920F9">
      <w:pPr>
        <w:autoSpaceDE w:val="0"/>
        <w:autoSpaceDN w:val="0"/>
        <w:adjustRightInd w:val="0"/>
        <w:spacing w:before="60" w:after="60"/>
        <w:jc w:val="both"/>
      </w:pPr>
      <w:r>
        <w:t>Każdy z programów zawiera pakiet projektów</w:t>
      </w:r>
      <w:r w:rsidR="00E126C5">
        <w:t>, z których większość</w:t>
      </w:r>
      <w:r>
        <w:t xml:space="preserve"> została zrealizowana.</w:t>
      </w:r>
      <w:r w:rsidR="00E126C5">
        <w:t xml:space="preserve"> </w:t>
      </w:r>
      <w:r w:rsidR="00E126C5" w:rsidRPr="00E126C5">
        <w:rPr>
          <w:rFonts w:ascii="Calibri" w:eastAsia="Times New Roman" w:hAnsi="Calibri" w:cs="Times New Roman"/>
        </w:rPr>
        <w:t>Pobiedziska rozwijały się bardzo dynamicznie w ciągu ostatnich lat.</w:t>
      </w:r>
      <w:r>
        <w:t xml:space="preserve"> </w:t>
      </w:r>
      <w:r w:rsidR="00E126C5">
        <w:t>Z</w:t>
      </w:r>
      <w:r w:rsidR="006920F9">
        <w:t>identyfikowan</w:t>
      </w:r>
      <w:r w:rsidR="00E126C5">
        <w:t>e</w:t>
      </w:r>
      <w:r w:rsidR="006920F9">
        <w:t xml:space="preserve"> uwarunkowania rozwojowe Gminy (posiadane atuty oraz na</w:t>
      </w:r>
      <w:r w:rsidR="00E126C5">
        <w:t>jistotniejsze braki i problemy) częściowo stały się nieaktualne.</w:t>
      </w:r>
      <w:r w:rsidR="006920F9">
        <w:t xml:space="preserve"> </w:t>
      </w:r>
      <w:r w:rsidR="00E126C5">
        <w:t>W związku z tym zmianie ulegną</w:t>
      </w:r>
      <w:r w:rsidR="006920F9">
        <w:t xml:space="preserve"> główne kierunki rozwoju Gminy</w:t>
      </w:r>
      <w:r w:rsidR="00E126C5">
        <w:t>.</w:t>
      </w:r>
    </w:p>
    <w:p w:rsidR="00194A26" w:rsidRDefault="00194A26" w:rsidP="00E54966">
      <w:pPr>
        <w:autoSpaceDE w:val="0"/>
        <w:autoSpaceDN w:val="0"/>
        <w:adjustRightInd w:val="0"/>
        <w:spacing w:before="60" w:after="60"/>
        <w:jc w:val="both"/>
      </w:pPr>
    </w:p>
    <w:p w:rsidR="009A7ABC" w:rsidRPr="00AE3A7B" w:rsidRDefault="00927DA9" w:rsidP="00AE3A7B">
      <w:pPr>
        <w:pStyle w:val="Nagwek2"/>
        <w:spacing w:before="120" w:after="120"/>
        <w:rPr>
          <w:rFonts w:asciiTheme="minorHAnsi" w:hAnsiTheme="minorHAnsi"/>
          <w:color w:val="943634" w:themeColor="accent2" w:themeShade="BF"/>
        </w:rPr>
      </w:pPr>
      <w:bookmarkStart w:id="8" w:name="_Toc321135326"/>
      <w:r w:rsidRPr="00AE3A7B">
        <w:rPr>
          <w:rFonts w:asciiTheme="minorHAnsi" w:hAnsiTheme="minorHAnsi"/>
          <w:color w:val="943634" w:themeColor="accent2" w:themeShade="BF"/>
        </w:rPr>
        <w:lastRenderedPageBreak/>
        <w:t xml:space="preserve">4.3 </w:t>
      </w:r>
      <w:r w:rsidR="009A7ABC" w:rsidRPr="00AE3A7B">
        <w:rPr>
          <w:rFonts w:asciiTheme="minorHAnsi" w:hAnsiTheme="minorHAnsi"/>
          <w:color w:val="943634" w:themeColor="accent2" w:themeShade="BF"/>
        </w:rPr>
        <w:t>Analiza procesów demograficznych i ich wpływu na prognozowany rozwój społeczno-gospodarczy gminy i regionu</w:t>
      </w:r>
      <w:bookmarkEnd w:id="8"/>
    </w:p>
    <w:p w:rsidR="00FC2C86" w:rsidRPr="00385F98" w:rsidRDefault="00FC2C86" w:rsidP="00E54966">
      <w:pPr>
        <w:spacing w:before="60" w:after="60"/>
        <w:jc w:val="both"/>
        <w:rPr>
          <w:rFonts w:ascii="Calibri" w:hAnsi="Calibri" w:cs="Calibri"/>
        </w:rPr>
      </w:pPr>
      <w:r w:rsidRPr="00385F98">
        <w:rPr>
          <w:rFonts w:ascii="Calibri" w:hAnsi="Calibri" w:cs="Calibri"/>
        </w:rPr>
        <w:t>Na koniec 201</w:t>
      </w:r>
      <w:r w:rsidR="006404D3">
        <w:rPr>
          <w:rFonts w:ascii="Calibri" w:hAnsi="Calibri" w:cs="Calibri"/>
        </w:rPr>
        <w:t>0 r. Pobiedziska zamieszkiwało b</w:t>
      </w:r>
      <w:r w:rsidRPr="00385F98">
        <w:rPr>
          <w:rFonts w:ascii="Calibri" w:hAnsi="Calibri" w:cs="Calibri"/>
        </w:rPr>
        <w:t>lisko 18 tys. osób, spośród których częściej niż co druga była mieszkańcem obszaru wiejskiego. Ponad połowę ludności stanowiły kobiety, a wskaźnik feminizacji wynosił 104. Liczba ludności gminy utrzymuje się na zbliżonym poziomie od kilkunastu lat, podobnie jak udział kobiet w liczbie mieszkańców – 5</w:t>
      </w:r>
      <w:r w:rsidR="00234865">
        <w:rPr>
          <w:rFonts w:ascii="Calibri" w:hAnsi="Calibri" w:cs="Calibri"/>
        </w:rPr>
        <w:t>1</w:t>
      </w:r>
      <w:r w:rsidRPr="00385F98">
        <w:rPr>
          <w:rFonts w:ascii="Calibri" w:hAnsi="Calibri" w:cs="Calibri"/>
        </w:rPr>
        <w:t xml:space="preserve">%. Gęstość zaludnienia </w:t>
      </w:r>
      <w:r w:rsidR="00004CFA">
        <w:rPr>
          <w:rFonts w:ascii="Calibri" w:hAnsi="Calibri" w:cs="Calibri"/>
        </w:rPr>
        <w:t>systematycznie wzrasta</w:t>
      </w:r>
      <w:r w:rsidRPr="00385F98">
        <w:rPr>
          <w:rFonts w:ascii="Calibri" w:hAnsi="Calibri" w:cs="Calibri"/>
        </w:rPr>
        <w:t xml:space="preserve"> i </w:t>
      </w:r>
      <w:r w:rsidR="00004CFA">
        <w:rPr>
          <w:rFonts w:ascii="Calibri" w:hAnsi="Calibri" w:cs="Calibri"/>
        </w:rPr>
        <w:t>w 2010 r. wyniosła</w:t>
      </w:r>
      <w:r w:rsidRPr="00385F98">
        <w:rPr>
          <w:rFonts w:ascii="Calibri" w:hAnsi="Calibri" w:cs="Calibri"/>
        </w:rPr>
        <w:t xml:space="preserve"> ok. 95 osób na 1 km</w:t>
      </w:r>
      <w:r w:rsidRPr="00385F98">
        <w:rPr>
          <w:rFonts w:ascii="Calibri" w:hAnsi="Calibri" w:cs="Calibri"/>
          <w:vertAlign w:val="superscript"/>
        </w:rPr>
        <w:t>2</w:t>
      </w:r>
      <w:r w:rsidRPr="00385F98">
        <w:rPr>
          <w:rFonts w:ascii="Calibri" w:hAnsi="Calibri" w:cs="Calibri"/>
        </w:rPr>
        <w:t>.</w:t>
      </w:r>
    </w:p>
    <w:p w:rsidR="00FC2C86" w:rsidRPr="00FC2C86" w:rsidRDefault="00FC2C86" w:rsidP="00810E49">
      <w:pPr>
        <w:pStyle w:val="Legenda"/>
        <w:spacing w:before="120" w:after="0"/>
        <w:jc w:val="both"/>
        <w:rPr>
          <w:rFonts w:ascii="Calibri" w:hAnsi="Calibri"/>
          <w:b w:val="0"/>
          <w:color w:val="auto"/>
          <w:sz w:val="20"/>
          <w:szCs w:val="20"/>
        </w:rPr>
      </w:pPr>
      <w:r w:rsidRPr="00FC2C86">
        <w:rPr>
          <w:rFonts w:ascii="Calibri" w:hAnsi="Calibri"/>
          <w:b w:val="0"/>
          <w:color w:val="auto"/>
          <w:sz w:val="20"/>
          <w:szCs w:val="20"/>
        </w:rPr>
        <w:t xml:space="preserve">Wykres </w:t>
      </w:r>
      <w:r w:rsidR="00E07640" w:rsidRPr="00FC2C86">
        <w:rPr>
          <w:rFonts w:ascii="Calibri" w:hAnsi="Calibri"/>
          <w:b w:val="0"/>
          <w:color w:val="auto"/>
          <w:sz w:val="20"/>
          <w:szCs w:val="20"/>
        </w:rPr>
        <w:fldChar w:fldCharType="begin"/>
      </w:r>
      <w:r w:rsidRPr="00FC2C86">
        <w:rPr>
          <w:rFonts w:ascii="Calibri" w:hAnsi="Calibri"/>
          <w:b w:val="0"/>
          <w:color w:val="auto"/>
          <w:sz w:val="20"/>
          <w:szCs w:val="20"/>
        </w:rPr>
        <w:instrText xml:space="preserve"> SEQ Wykres \* ARABIC </w:instrText>
      </w:r>
      <w:r w:rsidR="00E07640" w:rsidRPr="00FC2C86">
        <w:rPr>
          <w:rFonts w:ascii="Calibri" w:hAnsi="Calibri"/>
          <w:b w:val="0"/>
          <w:color w:val="auto"/>
          <w:sz w:val="20"/>
          <w:szCs w:val="20"/>
        </w:rPr>
        <w:fldChar w:fldCharType="separate"/>
      </w:r>
      <w:r w:rsidR="00D540D9">
        <w:rPr>
          <w:rFonts w:ascii="Calibri" w:hAnsi="Calibri"/>
          <w:b w:val="0"/>
          <w:noProof/>
          <w:color w:val="auto"/>
          <w:sz w:val="20"/>
          <w:szCs w:val="20"/>
        </w:rPr>
        <w:t>1</w:t>
      </w:r>
      <w:r w:rsidR="00E07640" w:rsidRPr="00FC2C86">
        <w:rPr>
          <w:rFonts w:ascii="Calibri" w:hAnsi="Calibri"/>
          <w:b w:val="0"/>
          <w:color w:val="auto"/>
          <w:sz w:val="20"/>
          <w:szCs w:val="20"/>
        </w:rPr>
        <w:fldChar w:fldCharType="end"/>
      </w:r>
      <w:r w:rsidRPr="00FC2C86">
        <w:rPr>
          <w:rFonts w:ascii="Calibri" w:hAnsi="Calibri"/>
          <w:b w:val="0"/>
          <w:color w:val="auto"/>
          <w:sz w:val="20"/>
          <w:szCs w:val="20"/>
        </w:rPr>
        <w:t>.</w:t>
      </w:r>
    </w:p>
    <w:p w:rsidR="00FC2C86" w:rsidRDefault="00FC2C86" w:rsidP="00810E49">
      <w:pPr>
        <w:spacing w:after="0"/>
        <w:jc w:val="center"/>
      </w:pPr>
      <w:r w:rsidRPr="00E90CFB">
        <w:rPr>
          <w:noProof/>
        </w:rPr>
        <w:drawing>
          <wp:inline distT="0" distB="0" distL="0" distR="0">
            <wp:extent cx="4295553" cy="2551814"/>
            <wp:effectExtent l="0" t="0" r="0" b="0"/>
            <wp:docPr id="3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C2C86" w:rsidRDefault="00FC2C86" w:rsidP="00810E49">
      <w:pPr>
        <w:spacing w:after="0" w:line="240" w:lineRule="auto"/>
      </w:pPr>
      <w:r w:rsidRPr="0080695F">
        <w:rPr>
          <w:rFonts w:ascii="Calibri" w:hAnsi="Calibri" w:cs="Calibri"/>
          <w:sz w:val="20"/>
          <w:szCs w:val="20"/>
        </w:rPr>
        <w:t>Źródło: opracowanie własne na podstawie danych GUS.</w:t>
      </w:r>
    </w:p>
    <w:p w:rsidR="00FC2C86" w:rsidRDefault="00FC2C86" w:rsidP="00AE3A7B">
      <w:pPr>
        <w:shd w:val="clear" w:color="auto" w:fill="FFFFFF"/>
        <w:spacing w:before="60" w:after="60"/>
        <w:jc w:val="both"/>
        <w:outlineLvl w:val="3"/>
        <w:rPr>
          <w:rFonts w:ascii="Calibri" w:hAnsi="Calibri" w:cs="Tahoma"/>
        </w:rPr>
      </w:pPr>
      <w:r>
        <w:rPr>
          <w:rFonts w:ascii="Calibri" w:hAnsi="Calibri" w:cs="Tahoma"/>
        </w:rPr>
        <w:t>Rokrocznie w gminie</w:t>
      </w:r>
      <w:r w:rsidRPr="007F4C5F">
        <w:rPr>
          <w:rFonts w:ascii="Calibri" w:hAnsi="Calibri" w:cs="Tahoma"/>
        </w:rPr>
        <w:t xml:space="preserve"> odnotowuje się nadwyżkę urodzeń nad liczbą zgonów, która </w:t>
      </w:r>
      <w:r>
        <w:rPr>
          <w:rFonts w:ascii="Calibri" w:hAnsi="Calibri" w:cs="Tahoma"/>
        </w:rPr>
        <w:t>wraz z dodatnim saldem migracji wpływa na wzrost liczby mieszkańców Pobiedzisk.</w:t>
      </w:r>
      <w:r w:rsidRPr="007F4C5F">
        <w:rPr>
          <w:rFonts w:ascii="Calibri" w:hAnsi="Calibri" w:cs="Tahoma"/>
        </w:rPr>
        <w:t xml:space="preserve"> </w:t>
      </w:r>
      <w:r>
        <w:rPr>
          <w:rFonts w:ascii="Calibri" w:hAnsi="Calibri" w:cs="Tahoma"/>
        </w:rPr>
        <w:t>W 2010 r. przyrost naturalny na 1000 mieszkańców wyniósł 5. Warto podkreślić, że w latach 2003-2010 we wszystkich gminach powiatu poznańskiego nastąpił wzrost liczby ludności przy jednoczesnym spadku liczby mieszkańców Poznania. Takie zjawisko jest charakterystyczne dla większych miast</w:t>
      </w:r>
      <w:r w:rsidR="002F2EF8">
        <w:rPr>
          <w:rFonts w:ascii="Calibri" w:hAnsi="Calibri" w:cs="Tahoma"/>
        </w:rPr>
        <w:t xml:space="preserve"> oraz gmin ościennych w Polsce.</w:t>
      </w:r>
    </w:p>
    <w:p w:rsidR="00FC2C86" w:rsidRPr="00810E49" w:rsidRDefault="00FC2C86" w:rsidP="00810E49">
      <w:pPr>
        <w:pStyle w:val="Legenda"/>
        <w:spacing w:after="0"/>
        <w:rPr>
          <w:rFonts w:cstheme="minorHAnsi"/>
          <w:b w:val="0"/>
          <w:color w:val="auto"/>
          <w:sz w:val="20"/>
          <w:szCs w:val="20"/>
        </w:rPr>
      </w:pPr>
      <w:r w:rsidRPr="00810E49">
        <w:rPr>
          <w:rFonts w:cstheme="minorHAnsi"/>
          <w:b w:val="0"/>
          <w:color w:val="auto"/>
          <w:sz w:val="20"/>
          <w:szCs w:val="20"/>
        </w:rPr>
        <w:t xml:space="preserve">Wykres </w:t>
      </w:r>
      <w:r w:rsidR="00E07640" w:rsidRPr="00810E49">
        <w:rPr>
          <w:rFonts w:cstheme="minorHAnsi"/>
          <w:b w:val="0"/>
          <w:color w:val="auto"/>
          <w:sz w:val="20"/>
          <w:szCs w:val="20"/>
        </w:rPr>
        <w:fldChar w:fldCharType="begin"/>
      </w:r>
      <w:r w:rsidRPr="00810E49">
        <w:rPr>
          <w:rFonts w:cstheme="minorHAnsi"/>
          <w:b w:val="0"/>
          <w:color w:val="auto"/>
          <w:sz w:val="20"/>
          <w:szCs w:val="20"/>
        </w:rPr>
        <w:instrText xml:space="preserve"> SEQ Wykres \* ARABIC </w:instrText>
      </w:r>
      <w:r w:rsidR="00E07640" w:rsidRPr="00810E49">
        <w:rPr>
          <w:rFonts w:cstheme="minorHAnsi"/>
          <w:b w:val="0"/>
          <w:color w:val="auto"/>
          <w:sz w:val="20"/>
          <w:szCs w:val="20"/>
        </w:rPr>
        <w:fldChar w:fldCharType="separate"/>
      </w:r>
      <w:r w:rsidR="00D540D9">
        <w:rPr>
          <w:rFonts w:cstheme="minorHAnsi"/>
          <w:b w:val="0"/>
          <w:noProof/>
          <w:color w:val="auto"/>
          <w:sz w:val="20"/>
          <w:szCs w:val="20"/>
        </w:rPr>
        <w:t>2</w:t>
      </w:r>
      <w:r w:rsidR="00E07640" w:rsidRPr="00810E49">
        <w:rPr>
          <w:rFonts w:cstheme="minorHAnsi"/>
          <w:b w:val="0"/>
          <w:color w:val="auto"/>
          <w:sz w:val="20"/>
          <w:szCs w:val="20"/>
        </w:rPr>
        <w:fldChar w:fldCharType="end"/>
      </w:r>
      <w:r w:rsidRPr="00810E49">
        <w:rPr>
          <w:rFonts w:cstheme="minorHAnsi"/>
          <w:b w:val="0"/>
          <w:color w:val="auto"/>
          <w:sz w:val="20"/>
          <w:szCs w:val="20"/>
        </w:rPr>
        <w:t>.</w:t>
      </w:r>
    </w:p>
    <w:p w:rsidR="00FC2C86" w:rsidRDefault="00FC2C86" w:rsidP="00810E49">
      <w:pPr>
        <w:tabs>
          <w:tab w:val="left" w:pos="1276"/>
        </w:tabs>
        <w:spacing w:after="0" w:line="240" w:lineRule="auto"/>
        <w:jc w:val="center"/>
        <w:rPr>
          <w:rFonts w:ascii="Tahoma" w:hAnsi="Tahoma" w:cs="Tahoma"/>
          <w:b/>
          <w:color w:val="002867"/>
          <w:sz w:val="20"/>
          <w:szCs w:val="20"/>
        </w:rPr>
      </w:pPr>
      <w:r w:rsidRPr="006A5ABF">
        <w:rPr>
          <w:rFonts w:ascii="Tahoma" w:hAnsi="Tahoma" w:cs="Tahoma"/>
          <w:b/>
          <w:noProof/>
          <w:color w:val="002867"/>
          <w:sz w:val="20"/>
          <w:szCs w:val="20"/>
        </w:rPr>
        <w:drawing>
          <wp:inline distT="0" distB="0" distL="0" distR="0">
            <wp:extent cx="4221126" cy="2755168"/>
            <wp:effectExtent l="0" t="0" r="0" b="0"/>
            <wp:docPr id="10" name="Wykres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C2C86" w:rsidRDefault="00FC2C86" w:rsidP="00810E49">
      <w:pPr>
        <w:tabs>
          <w:tab w:val="left" w:pos="1276"/>
        </w:tabs>
        <w:spacing w:after="0"/>
        <w:jc w:val="both"/>
        <w:rPr>
          <w:rFonts w:ascii="Tahoma" w:hAnsi="Tahoma" w:cs="Tahoma"/>
          <w:b/>
          <w:color w:val="002867"/>
          <w:sz w:val="20"/>
          <w:szCs w:val="20"/>
        </w:rPr>
      </w:pPr>
      <w:r w:rsidRPr="0080695F">
        <w:rPr>
          <w:rFonts w:ascii="Calibri" w:hAnsi="Calibri" w:cs="Calibri"/>
          <w:sz w:val="20"/>
          <w:szCs w:val="20"/>
        </w:rPr>
        <w:t>Źródło: opracowanie własne na podstawie danych GUS.</w:t>
      </w:r>
    </w:p>
    <w:p w:rsidR="00FC2C86" w:rsidRDefault="00B23627" w:rsidP="00AB529D">
      <w:pPr>
        <w:tabs>
          <w:tab w:val="left" w:pos="1276"/>
        </w:tabs>
        <w:spacing w:before="60" w:after="60"/>
        <w:jc w:val="both"/>
        <w:rPr>
          <w:rFonts w:ascii="Calibri" w:hAnsi="Calibri" w:cs="Tahoma"/>
        </w:rPr>
      </w:pPr>
      <w:r>
        <w:rPr>
          <w:rFonts w:ascii="Calibri" w:hAnsi="Calibri" w:cs="Tahoma"/>
        </w:rPr>
        <w:lastRenderedPageBreak/>
        <w:t>Blisko</w:t>
      </w:r>
      <w:r w:rsidR="00A34176">
        <w:rPr>
          <w:rFonts w:ascii="Calibri" w:hAnsi="Calibri" w:cs="Tahoma"/>
        </w:rPr>
        <w:t xml:space="preserve"> ⅔</w:t>
      </w:r>
      <w:r w:rsidR="00FC2C86">
        <w:rPr>
          <w:rFonts w:ascii="Calibri" w:hAnsi="Calibri" w:cs="Tahoma"/>
        </w:rPr>
        <w:t xml:space="preserve"> mieszkańców Pobiedzisk</w:t>
      </w:r>
      <w:r w:rsidR="00FC2C86" w:rsidRPr="007400C4">
        <w:rPr>
          <w:rFonts w:ascii="Calibri" w:hAnsi="Calibri" w:cs="Tahoma"/>
        </w:rPr>
        <w:t xml:space="preserve"> stanowią osoby w wieku produkcyjnym (w wieku 18-59/64 lata). Wysokość wskaźnika od kliku lat</w:t>
      </w:r>
      <w:r w:rsidR="00FC2C86">
        <w:rPr>
          <w:rFonts w:ascii="Calibri" w:hAnsi="Calibri" w:cs="Tahoma"/>
        </w:rPr>
        <w:t xml:space="preserve"> wzrasta</w:t>
      </w:r>
      <w:r w:rsidR="00FC2C86" w:rsidRPr="007400C4">
        <w:rPr>
          <w:rFonts w:ascii="Calibri" w:hAnsi="Calibri" w:cs="Tahoma"/>
        </w:rPr>
        <w:t xml:space="preserve">, </w:t>
      </w:r>
      <w:r w:rsidR="00FC2C86">
        <w:rPr>
          <w:rFonts w:ascii="Calibri" w:hAnsi="Calibri" w:cs="Tahoma"/>
        </w:rPr>
        <w:t>podobnie jak</w:t>
      </w:r>
      <w:r w:rsidR="00FC2C86" w:rsidRPr="007400C4">
        <w:rPr>
          <w:rFonts w:ascii="Calibri" w:hAnsi="Calibri" w:cs="Tahoma"/>
        </w:rPr>
        <w:t xml:space="preserve"> dla Polski</w:t>
      </w:r>
      <w:r w:rsidR="00FC2C86">
        <w:rPr>
          <w:rFonts w:ascii="Calibri" w:hAnsi="Calibri" w:cs="Tahoma"/>
        </w:rPr>
        <w:t xml:space="preserve"> oraz</w:t>
      </w:r>
      <w:r w:rsidR="00FC2C86" w:rsidRPr="007400C4">
        <w:rPr>
          <w:rFonts w:ascii="Calibri" w:hAnsi="Calibri" w:cs="Tahoma"/>
        </w:rPr>
        <w:t xml:space="preserve"> województwa wielkopols</w:t>
      </w:r>
      <w:r w:rsidR="00AB529D">
        <w:rPr>
          <w:rFonts w:ascii="Calibri" w:hAnsi="Calibri" w:cs="Tahoma"/>
        </w:rPr>
        <w:t>kiego. Równocześnie od 2003 r.</w:t>
      </w:r>
      <w:r w:rsidR="00FC2C86" w:rsidRPr="007400C4">
        <w:rPr>
          <w:rFonts w:ascii="Calibri" w:hAnsi="Calibri" w:cs="Tahoma"/>
        </w:rPr>
        <w:t xml:space="preserve"> spada udział ludności w wieku przedprodukcyjnym i wzrasta udział ludności w wieku poprodukcyjnym, co </w:t>
      </w:r>
      <w:r w:rsidR="00FC2C86">
        <w:rPr>
          <w:rFonts w:ascii="Calibri" w:hAnsi="Calibri" w:cs="Tahoma"/>
        </w:rPr>
        <w:t xml:space="preserve">również </w:t>
      </w:r>
      <w:r w:rsidR="00FC2C86" w:rsidRPr="007400C4">
        <w:rPr>
          <w:rFonts w:ascii="Calibri" w:hAnsi="Calibri" w:cs="Tahoma"/>
        </w:rPr>
        <w:t xml:space="preserve">tożsame jest z tendencjami dla całego kraju oraz </w:t>
      </w:r>
      <w:r w:rsidR="00FC2C86">
        <w:rPr>
          <w:rFonts w:ascii="Calibri" w:hAnsi="Calibri" w:cs="Tahoma"/>
        </w:rPr>
        <w:t>Wielkopolski</w:t>
      </w:r>
      <w:r w:rsidR="00FC2C86" w:rsidRPr="007400C4">
        <w:rPr>
          <w:rFonts w:ascii="Calibri" w:hAnsi="Calibri" w:cs="Tahoma"/>
        </w:rPr>
        <w:t>. Powyższe tendencje demograficzne są niekorzystne, ponieważ wskazują na proces starzenia się społeczeństwa</w:t>
      </w:r>
      <w:r w:rsidR="00FC2C86">
        <w:rPr>
          <w:rFonts w:ascii="Calibri" w:hAnsi="Calibri" w:cs="Tahoma"/>
        </w:rPr>
        <w:t>.</w:t>
      </w:r>
      <w:r w:rsidR="006A3ADC">
        <w:rPr>
          <w:rFonts w:ascii="Calibri" w:hAnsi="Calibri" w:cs="Tahoma"/>
        </w:rPr>
        <w:t xml:space="preserve"> Zmiany te widoczne są na wykresach obrazujących piramidy wieku mieszkańców gminy Pobiedziska w 1995 r. oraz 2010 r.</w:t>
      </w:r>
    </w:p>
    <w:p w:rsidR="00FC2C86" w:rsidRPr="00AB529D" w:rsidRDefault="00FC2C86" w:rsidP="00AB529D">
      <w:pPr>
        <w:pStyle w:val="Legenda"/>
        <w:spacing w:after="0"/>
        <w:rPr>
          <w:rFonts w:cstheme="minorHAnsi"/>
          <w:b w:val="0"/>
          <w:color w:val="auto"/>
          <w:sz w:val="20"/>
          <w:szCs w:val="20"/>
        </w:rPr>
      </w:pPr>
      <w:r w:rsidRPr="00AB529D">
        <w:rPr>
          <w:rFonts w:cstheme="minorHAnsi"/>
          <w:b w:val="0"/>
          <w:color w:val="auto"/>
          <w:sz w:val="20"/>
          <w:szCs w:val="20"/>
        </w:rPr>
        <w:t xml:space="preserve">Wykres </w:t>
      </w:r>
      <w:r w:rsidR="00E07640" w:rsidRPr="00AB529D">
        <w:rPr>
          <w:rFonts w:cstheme="minorHAnsi"/>
          <w:b w:val="0"/>
          <w:color w:val="auto"/>
          <w:sz w:val="20"/>
          <w:szCs w:val="20"/>
        </w:rPr>
        <w:fldChar w:fldCharType="begin"/>
      </w:r>
      <w:r w:rsidRPr="00AB529D">
        <w:rPr>
          <w:rFonts w:cstheme="minorHAnsi"/>
          <w:b w:val="0"/>
          <w:color w:val="auto"/>
          <w:sz w:val="20"/>
          <w:szCs w:val="20"/>
        </w:rPr>
        <w:instrText xml:space="preserve"> SEQ Wykres \* ARABIC </w:instrText>
      </w:r>
      <w:r w:rsidR="00E07640" w:rsidRPr="00AB529D">
        <w:rPr>
          <w:rFonts w:cstheme="minorHAnsi"/>
          <w:b w:val="0"/>
          <w:color w:val="auto"/>
          <w:sz w:val="20"/>
          <w:szCs w:val="20"/>
        </w:rPr>
        <w:fldChar w:fldCharType="separate"/>
      </w:r>
      <w:r w:rsidR="00D540D9">
        <w:rPr>
          <w:rFonts w:cstheme="minorHAnsi"/>
          <w:b w:val="0"/>
          <w:noProof/>
          <w:color w:val="auto"/>
          <w:sz w:val="20"/>
          <w:szCs w:val="20"/>
        </w:rPr>
        <w:t>3</w:t>
      </w:r>
      <w:r w:rsidR="00E07640" w:rsidRPr="00AB529D">
        <w:rPr>
          <w:rFonts w:cstheme="minorHAnsi"/>
          <w:b w:val="0"/>
          <w:color w:val="auto"/>
          <w:sz w:val="20"/>
          <w:szCs w:val="20"/>
        </w:rPr>
        <w:fldChar w:fldCharType="end"/>
      </w:r>
      <w:r w:rsidRPr="00AB529D">
        <w:rPr>
          <w:rFonts w:cstheme="minorHAnsi"/>
          <w:b w:val="0"/>
          <w:color w:val="auto"/>
          <w:sz w:val="20"/>
          <w:szCs w:val="20"/>
        </w:rPr>
        <w:t>.</w:t>
      </w:r>
    </w:p>
    <w:p w:rsidR="00FC2C86" w:rsidRPr="00135F07" w:rsidRDefault="00FC2C86" w:rsidP="00135F07">
      <w:pPr>
        <w:spacing w:after="0"/>
        <w:jc w:val="center"/>
      </w:pPr>
      <w:r w:rsidRPr="00135F07">
        <w:rPr>
          <w:noProof/>
        </w:rPr>
        <w:drawing>
          <wp:inline distT="0" distB="0" distL="0" distR="0">
            <wp:extent cx="2838893" cy="2445488"/>
            <wp:effectExtent l="0" t="0" r="0" b="0"/>
            <wp:docPr id="18" name="Wykres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2C86" w:rsidRPr="0080695F" w:rsidRDefault="00FC2C86" w:rsidP="00FC2C86">
      <w:pPr>
        <w:tabs>
          <w:tab w:val="left" w:pos="1276"/>
        </w:tabs>
        <w:rPr>
          <w:rFonts w:ascii="Calibri" w:hAnsi="Calibri" w:cs="Calibri"/>
          <w:sz w:val="20"/>
          <w:szCs w:val="20"/>
        </w:rPr>
      </w:pPr>
      <w:r w:rsidRPr="0080695F">
        <w:rPr>
          <w:rFonts w:ascii="Calibri" w:hAnsi="Calibri" w:cs="Calibri"/>
          <w:sz w:val="20"/>
          <w:szCs w:val="20"/>
        </w:rPr>
        <w:t>Źródło: opracowanie własne na podstawie danych GUS.</w:t>
      </w:r>
    </w:p>
    <w:p w:rsidR="00FC2C86" w:rsidRPr="00AB529D" w:rsidRDefault="00FC2C86" w:rsidP="00AB529D">
      <w:pPr>
        <w:pStyle w:val="Legenda"/>
        <w:spacing w:after="0"/>
        <w:rPr>
          <w:rFonts w:cstheme="minorHAnsi"/>
          <w:b w:val="0"/>
          <w:color w:val="auto"/>
          <w:sz w:val="20"/>
          <w:szCs w:val="20"/>
        </w:rPr>
      </w:pPr>
      <w:r w:rsidRPr="00AB529D">
        <w:rPr>
          <w:rFonts w:cstheme="minorHAnsi"/>
          <w:b w:val="0"/>
          <w:color w:val="auto"/>
          <w:sz w:val="20"/>
          <w:szCs w:val="20"/>
        </w:rPr>
        <w:t xml:space="preserve">Wykres </w:t>
      </w:r>
      <w:r w:rsidR="00E07640" w:rsidRPr="00AB529D">
        <w:rPr>
          <w:rFonts w:cstheme="minorHAnsi"/>
          <w:b w:val="0"/>
          <w:color w:val="auto"/>
          <w:sz w:val="20"/>
          <w:szCs w:val="20"/>
        </w:rPr>
        <w:fldChar w:fldCharType="begin"/>
      </w:r>
      <w:r w:rsidRPr="00AB529D">
        <w:rPr>
          <w:rFonts w:cstheme="minorHAnsi"/>
          <w:b w:val="0"/>
          <w:color w:val="auto"/>
          <w:sz w:val="20"/>
          <w:szCs w:val="20"/>
        </w:rPr>
        <w:instrText xml:space="preserve"> SEQ Wykres \* ARABIC </w:instrText>
      </w:r>
      <w:r w:rsidR="00E07640" w:rsidRPr="00AB529D">
        <w:rPr>
          <w:rFonts w:cstheme="minorHAnsi"/>
          <w:b w:val="0"/>
          <w:color w:val="auto"/>
          <w:sz w:val="20"/>
          <w:szCs w:val="20"/>
        </w:rPr>
        <w:fldChar w:fldCharType="separate"/>
      </w:r>
      <w:r w:rsidR="00D540D9">
        <w:rPr>
          <w:rFonts w:cstheme="minorHAnsi"/>
          <w:b w:val="0"/>
          <w:noProof/>
          <w:color w:val="auto"/>
          <w:sz w:val="20"/>
          <w:szCs w:val="20"/>
        </w:rPr>
        <w:t>4</w:t>
      </w:r>
      <w:r w:rsidR="00E07640" w:rsidRPr="00AB529D">
        <w:rPr>
          <w:rFonts w:cstheme="minorHAnsi"/>
          <w:b w:val="0"/>
          <w:color w:val="auto"/>
          <w:sz w:val="20"/>
          <w:szCs w:val="20"/>
        </w:rPr>
        <w:fldChar w:fldCharType="end"/>
      </w:r>
      <w:r w:rsidRPr="00AB529D">
        <w:rPr>
          <w:rFonts w:cstheme="minorHAnsi"/>
          <w:b w:val="0"/>
          <w:color w:val="auto"/>
          <w:sz w:val="20"/>
          <w:szCs w:val="20"/>
        </w:rPr>
        <w:t>.</w:t>
      </w:r>
    </w:p>
    <w:p w:rsidR="00FC2C86" w:rsidRPr="00925FD9" w:rsidRDefault="00FC2C86" w:rsidP="00194A26">
      <w:pPr>
        <w:shd w:val="clear" w:color="auto" w:fill="F2F2F2" w:themeFill="background1" w:themeFillShade="F2"/>
        <w:spacing w:after="0"/>
        <w:ind w:left="851" w:right="850"/>
        <w:jc w:val="center"/>
      </w:pPr>
      <w:r w:rsidRPr="00925FD9">
        <w:rPr>
          <w:rFonts w:cstheme="minorHAnsi"/>
          <w:b/>
          <w:sz w:val="20"/>
          <w:szCs w:val="20"/>
        </w:rPr>
        <w:t xml:space="preserve">Struktura </w:t>
      </w:r>
      <w:r>
        <w:rPr>
          <w:rFonts w:cstheme="minorHAnsi"/>
          <w:b/>
          <w:sz w:val="20"/>
          <w:szCs w:val="20"/>
        </w:rPr>
        <w:t>płci i wieku mieszkańców Pobiedzisk</w:t>
      </w:r>
      <w:r w:rsidRPr="00925FD9">
        <w:rPr>
          <w:rFonts w:cstheme="minorHAnsi"/>
          <w:b/>
          <w:sz w:val="20"/>
          <w:szCs w:val="20"/>
        </w:rPr>
        <w:t xml:space="preserve"> w 1995 r.</w:t>
      </w:r>
    </w:p>
    <w:p w:rsidR="00FC2C86" w:rsidRPr="00F97E69" w:rsidRDefault="00FC2C86" w:rsidP="00194A26">
      <w:pPr>
        <w:spacing w:after="0"/>
        <w:jc w:val="center"/>
        <w:rPr>
          <w:highlight w:val="yellow"/>
        </w:rPr>
      </w:pPr>
      <w:r w:rsidRPr="006D2BA7">
        <w:rPr>
          <w:noProof/>
        </w:rPr>
        <w:drawing>
          <wp:inline distT="0" distB="0" distL="0" distR="0">
            <wp:extent cx="4703294" cy="2775097"/>
            <wp:effectExtent l="19050" t="0" r="2056" b="0"/>
            <wp:docPr id="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700306" cy="2773334"/>
                    </a:xfrm>
                    <a:prstGeom prst="rect">
                      <a:avLst/>
                    </a:prstGeom>
                    <a:noFill/>
                    <a:ln w="9525">
                      <a:noFill/>
                      <a:miter lim="800000"/>
                      <a:headEnd/>
                      <a:tailEnd/>
                    </a:ln>
                  </pic:spPr>
                </pic:pic>
              </a:graphicData>
            </a:graphic>
          </wp:inline>
        </w:drawing>
      </w:r>
    </w:p>
    <w:p w:rsidR="00FC2C86" w:rsidRDefault="00FC2C86" w:rsidP="00FC2C86">
      <w:pPr>
        <w:tabs>
          <w:tab w:val="left" w:pos="1276"/>
        </w:tabs>
        <w:jc w:val="both"/>
        <w:rPr>
          <w:rFonts w:ascii="Calibri" w:hAnsi="Calibri" w:cs="Calibri"/>
          <w:sz w:val="20"/>
          <w:szCs w:val="20"/>
        </w:rPr>
      </w:pPr>
      <w:r w:rsidRPr="0080695F">
        <w:rPr>
          <w:rFonts w:ascii="Calibri" w:hAnsi="Calibri" w:cs="Calibri"/>
          <w:sz w:val="20"/>
          <w:szCs w:val="20"/>
        </w:rPr>
        <w:t>Źródło: opracowanie własne na podstawie danych GUS.</w:t>
      </w:r>
    </w:p>
    <w:p w:rsidR="00135F07" w:rsidRDefault="00135F07">
      <w:pPr>
        <w:rPr>
          <w:rFonts w:ascii="Tahoma" w:hAnsi="Tahoma" w:cs="Tahoma"/>
          <w:color w:val="002867"/>
          <w:sz w:val="20"/>
          <w:szCs w:val="20"/>
        </w:rPr>
      </w:pPr>
      <w:r>
        <w:rPr>
          <w:rFonts w:ascii="Tahoma" w:hAnsi="Tahoma" w:cs="Tahoma"/>
          <w:b/>
          <w:bCs/>
          <w:color w:val="002867"/>
          <w:sz w:val="20"/>
          <w:szCs w:val="20"/>
        </w:rPr>
        <w:br w:type="page"/>
      </w:r>
    </w:p>
    <w:p w:rsidR="00FC2C86" w:rsidRPr="00AB529D" w:rsidRDefault="00FC2C86" w:rsidP="00AB529D">
      <w:pPr>
        <w:pStyle w:val="Legenda"/>
        <w:spacing w:after="0"/>
        <w:rPr>
          <w:rFonts w:cstheme="minorHAnsi"/>
          <w:b w:val="0"/>
          <w:color w:val="auto"/>
          <w:sz w:val="20"/>
          <w:szCs w:val="20"/>
        </w:rPr>
      </w:pPr>
      <w:r w:rsidRPr="00AB529D">
        <w:rPr>
          <w:rFonts w:cstheme="minorHAnsi"/>
          <w:b w:val="0"/>
          <w:color w:val="auto"/>
          <w:sz w:val="20"/>
          <w:szCs w:val="20"/>
        </w:rPr>
        <w:lastRenderedPageBreak/>
        <w:t xml:space="preserve">Wykres </w:t>
      </w:r>
      <w:r w:rsidR="00E07640" w:rsidRPr="00AB529D">
        <w:rPr>
          <w:rFonts w:cstheme="minorHAnsi"/>
          <w:b w:val="0"/>
          <w:color w:val="auto"/>
          <w:sz w:val="20"/>
          <w:szCs w:val="20"/>
        </w:rPr>
        <w:fldChar w:fldCharType="begin"/>
      </w:r>
      <w:r w:rsidRPr="00AB529D">
        <w:rPr>
          <w:rFonts w:cstheme="minorHAnsi"/>
          <w:b w:val="0"/>
          <w:color w:val="auto"/>
          <w:sz w:val="20"/>
          <w:szCs w:val="20"/>
        </w:rPr>
        <w:instrText xml:space="preserve"> SEQ Wykres \* ARABIC </w:instrText>
      </w:r>
      <w:r w:rsidR="00E07640" w:rsidRPr="00AB529D">
        <w:rPr>
          <w:rFonts w:cstheme="minorHAnsi"/>
          <w:b w:val="0"/>
          <w:color w:val="auto"/>
          <w:sz w:val="20"/>
          <w:szCs w:val="20"/>
        </w:rPr>
        <w:fldChar w:fldCharType="separate"/>
      </w:r>
      <w:r w:rsidR="00D540D9">
        <w:rPr>
          <w:rFonts w:cstheme="minorHAnsi"/>
          <w:b w:val="0"/>
          <w:noProof/>
          <w:color w:val="auto"/>
          <w:sz w:val="20"/>
          <w:szCs w:val="20"/>
        </w:rPr>
        <w:t>5</w:t>
      </w:r>
      <w:r w:rsidR="00E07640" w:rsidRPr="00AB529D">
        <w:rPr>
          <w:rFonts w:cstheme="minorHAnsi"/>
          <w:b w:val="0"/>
          <w:color w:val="auto"/>
          <w:sz w:val="20"/>
          <w:szCs w:val="20"/>
        </w:rPr>
        <w:fldChar w:fldCharType="end"/>
      </w:r>
      <w:r w:rsidRPr="00AB529D">
        <w:rPr>
          <w:rFonts w:cstheme="minorHAnsi"/>
          <w:b w:val="0"/>
          <w:color w:val="auto"/>
          <w:sz w:val="20"/>
          <w:szCs w:val="20"/>
        </w:rPr>
        <w:t>.</w:t>
      </w:r>
    </w:p>
    <w:p w:rsidR="00FC2C86" w:rsidRPr="00925FD9" w:rsidRDefault="00FC2C86" w:rsidP="00194A26">
      <w:pPr>
        <w:shd w:val="clear" w:color="auto" w:fill="F2F2F2" w:themeFill="background1" w:themeFillShade="F2"/>
        <w:spacing w:after="0"/>
        <w:ind w:left="851" w:right="850"/>
        <w:jc w:val="center"/>
      </w:pPr>
      <w:r w:rsidRPr="00925FD9">
        <w:rPr>
          <w:rFonts w:cstheme="minorHAnsi"/>
          <w:b/>
          <w:sz w:val="20"/>
          <w:szCs w:val="20"/>
        </w:rPr>
        <w:t xml:space="preserve">Struktura płci i </w:t>
      </w:r>
      <w:r>
        <w:rPr>
          <w:rFonts w:cstheme="minorHAnsi"/>
          <w:b/>
          <w:sz w:val="20"/>
          <w:szCs w:val="20"/>
        </w:rPr>
        <w:t>wieku mieszkańców Pobiedzisk w 2010</w:t>
      </w:r>
      <w:r w:rsidRPr="00925FD9">
        <w:rPr>
          <w:rFonts w:cstheme="minorHAnsi"/>
          <w:b/>
          <w:sz w:val="20"/>
          <w:szCs w:val="20"/>
        </w:rPr>
        <w:t xml:space="preserve"> r.</w:t>
      </w:r>
    </w:p>
    <w:p w:rsidR="00FC2C86" w:rsidRDefault="00FC2C86" w:rsidP="00194A26">
      <w:pPr>
        <w:spacing w:after="0"/>
        <w:jc w:val="center"/>
        <w:rPr>
          <w:highlight w:val="yellow"/>
        </w:rPr>
      </w:pPr>
      <w:r w:rsidRPr="006D2BA7">
        <w:rPr>
          <w:noProof/>
        </w:rPr>
        <w:drawing>
          <wp:inline distT="0" distB="0" distL="0" distR="0">
            <wp:extent cx="4678095" cy="2773334"/>
            <wp:effectExtent l="19050" t="0" r="8205" b="0"/>
            <wp:docPr id="2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678095" cy="2773334"/>
                    </a:xfrm>
                    <a:prstGeom prst="rect">
                      <a:avLst/>
                    </a:prstGeom>
                    <a:noFill/>
                    <a:ln w="9525">
                      <a:noFill/>
                      <a:miter lim="800000"/>
                      <a:headEnd/>
                      <a:tailEnd/>
                    </a:ln>
                  </pic:spPr>
                </pic:pic>
              </a:graphicData>
            </a:graphic>
          </wp:inline>
        </w:drawing>
      </w:r>
    </w:p>
    <w:p w:rsidR="00FC2C86" w:rsidRDefault="00FC2C86" w:rsidP="002241B2">
      <w:pPr>
        <w:tabs>
          <w:tab w:val="left" w:pos="1276"/>
        </w:tabs>
        <w:spacing w:after="0"/>
        <w:jc w:val="both"/>
        <w:rPr>
          <w:rFonts w:ascii="Tahoma" w:hAnsi="Tahoma" w:cs="Tahoma"/>
          <w:b/>
          <w:color w:val="002867"/>
          <w:sz w:val="20"/>
          <w:szCs w:val="20"/>
        </w:rPr>
      </w:pPr>
      <w:r w:rsidRPr="0080695F">
        <w:rPr>
          <w:rFonts w:ascii="Calibri" w:hAnsi="Calibri" w:cs="Calibri"/>
          <w:sz w:val="20"/>
          <w:szCs w:val="20"/>
        </w:rPr>
        <w:t>Źródło: opracowanie własne na podstawie danych GUS.</w:t>
      </w:r>
    </w:p>
    <w:p w:rsidR="00FC2C86" w:rsidRDefault="00FC2C86" w:rsidP="002241B2">
      <w:pPr>
        <w:tabs>
          <w:tab w:val="left" w:pos="1276"/>
        </w:tabs>
        <w:spacing w:before="60" w:after="0"/>
        <w:jc w:val="both"/>
        <w:rPr>
          <w:rFonts w:ascii="Calibri" w:hAnsi="Calibri" w:cs="Tahoma"/>
        </w:rPr>
      </w:pPr>
      <w:r w:rsidRPr="007F4C5F">
        <w:rPr>
          <w:rFonts w:ascii="Calibri" w:hAnsi="Calibri" w:cs="Tahoma"/>
        </w:rPr>
        <w:t>Wskaźnik obciążenia demograficznego, obrazujący liczbę ludności w wieku nieprodukcyjnym na 100 osób w wiek</w:t>
      </w:r>
      <w:r>
        <w:rPr>
          <w:rFonts w:ascii="Calibri" w:hAnsi="Calibri" w:cs="Tahoma"/>
        </w:rPr>
        <w:t>u produkcyjnym, w ostatnich latach znaczenie spadł. W 2010 r. wyniósł 53 (w 2003 r. 60,2)</w:t>
      </w:r>
      <w:r w:rsidRPr="007F4C5F">
        <w:rPr>
          <w:rFonts w:ascii="Calibri" w:hAnsi="Calibri" w:cs="Tahoma"/>
        </w:rPr>
        <w:t xml:space="preserve">, co oznacza w uproszczeniu, że na jedną osobę niepracującą przypadały </w:t>
      </w:r>
      <w:r>
        <w:rPr>
          <w:rFonts w:ascii="Calibri" w:hAnsi="Calibri" w:cs="Tahoma"/>
        </w:rPr>
        <w:t>mniej niż</w:t>
      </w:r>
      <w:r w:rsidRPr="007F4C5F">
        <w:rPr>
          <w:rFonts w:ascii="Calibri" w:hAnsi="Calibri" w:cs="Tahoma"/>
        </w:rPr>
        <w:t xml:space="preserve"> dwie osoby pracujące. Dla Polski wskaźnik ten wynosił 55</w:t>
      </w:r>
      <w:r>
        <w:rPr>
          <w:rFonts w:ascii="Calibri" w:hAnsi="Calibri" w:cs="Tahoma"/>
        </w:rPr>
        <w:t>,2, dla województwa wielkopolskiego 54,1, natomiast dla powiatu poznańskiego 51</w:t>
      </w:r>
      <w:r w:rsidRPr="007F4C5F">
        <w:rPr>
          <w:rFonts w:ascii="Calibri" w:hAnsi="Calibri" w:cs="Tahoma"/>
        </w:rPr>
        <w:t xml:space="preserve">. </w:t>
      </w:r>
      <w:r>
        <w:rPr>
          <w:rFonts w:ascii="Calibri" w:hAnsi="Calibri" w:cs="Tahoma"/>
        </w:rPr>
        <w:t>Porównując wysokość wskaźnika wielkopolskich gmin miejsko-wiejskich o podobnej liczbie ludności Pobiedziska plasują się na szóstym miejscu. Trochę gorzej gmina wypada na tle gmin aglomeracji poznańskiej.</w:t>
      </w:r>
    </w:p>
    <w:p w:rsidR="00FC2C86" w:rsidRPr="00AB529D" w:rsidRDefault="00FC2C86" w:rsidP="00AB529D">
      <w:pPr>
        <w:pStyle w:val="Legenda"/>
        <w:spacing w:after="0"/>
        <w:rPr>
          <w:rFonts w:cstheme="minorHAnsi"/>
          <w:b w:val="0"/>
          <w:color w:val="auto"/>
          <w:sz w:val="20"/>
          <w:szCs w:val="20"/>
        </w:rPr>
      </w:pPr>
      <w:r w:rsidRPr="00AB529D">
        <w:rPr>
          <w:rFonts w:cstheme="minorHAnsi"/>
          <w:b w:val="0"/>
          <w:color w:val="auto"/>
          <w:sz w:val="20"/>
          <w:szCs w:val="20"/>
        </w:rPr>
        <w:t xml:space="preserve">Wykres </w:t>
      </w:r>
      <w:r w:rsidR="00E07640" w:rsidRPr="00AB529D">
        <w:rPr>
          <w:rFonts w:cstheme="minorHAnsi"/>
          <w:b w:val="0"/>
          <w:color w:val="auto"/>
          <w:sz w:val="20"/>
          <w:szCs w:val="20"/>
        </w:rPr>
        <w:fldChar w:fldCharType="begin"/>
      </w:r>
      <w:r w:rsidRPr="00AB529D">
        <w:rPr>
          <w:rFonts w:cstheme="minorHAnsi"/>
          <w:b w:val="0"/>
          <w:color w:val="auto"/>
          <w:sz w:val="20"/>
          <w:szCs w:val="20"/>
        </w:rPr>
        <w:instrText xml:space="preserve"> SEQ Wykres \* ARABIC </w:instrText>
      </w:r>
      <w:r w:rsidR="00E07640" w:rsidRPr="00AB529D">
        <w:rPr>
          <w:rFonts w:cstheme="minorHAnsi"/>
          <w:b w:val="0"/>
          <w:color w:val="auto"/>
          <w:sz w:val="20"/>
          <w:szCs w:val="20"/>
        </w:rPr>
        <w:fldChar w:fldCharType="separate"/>
      </w:r>
      <w:r w:rsidR="00D540D9">
        <w:rPr>
          <w:rFonts w:cstheme="minorHAnsi"/>
          <w:b w:val="0"/>
          <w:noProof/>
          <w:color w:val="auto"/>
          <w:sz w:val="20"/>
          <w:szCs w:val="20"/>
        </w:rPr>
        <w:t>6</w:t>
      </w:r>
      <w:r w:rsidR="00E07640" w:rsidRPr="00AB529D">
        <w:rPr>
          <w:rFonts w:cstheme="minorHAnsi"/>
          <w:b w:val="0"/>
          <w:color w:val="auto"/>
          <w:sz w:val="20"/>
          <w:szCs w:val="20"/>
        </w:rPr>
        <w:fldChar w:fldCharType="end"/>
      </w:r>
      <w:r w:rsidRPr="00AB529D">
        <w:rPr>
          <w:rFonts w:cstheme="minorHAnsi"/>
          <w:b w:val="0"/>
          <w:color w:val="auto"/>
          <w:sz w:val="20"/>
          <w:szCs w:val="20"/>
        </w:rPr>
        <w:t>.</w:t>
      </w:r>
    </w:p>
    <w:p w:rsidR="00FC2C86" w:rsidRPr="002F2275" w:rsidRDefault="00FC2C86" w:rsidP="00AB529D">
      <w:pPr>
        <w:tabs>
          <w:tab w:val="left" w:pos="1276"/>
        </w:tabs>
        <w:spacing w:after="0"/>
        <w:jc w:val="center"/>
        <w:rPr>
          <w:rFonts w:ascii="Tahoma" w:hAnsi="Tahoma" w:cs="Tahoma"/>
          <w:b/>
          <w:color w:val="002867"/>
          <w:sz w:val="20"/>
          <w:szCs w:val="20"/>
        </w:rPr>
      </w:pPr>
      <w:r w:rsidRPr="002F2275">
        <w:rPr>
          <w:noProof/>
        </w:rPr>
        <w:drawing>
          <wp:inline distT="0" distB="0" distL="0" distR="0">
            <wp:extent cx="4575175" cy="2980462"/>
            <wp:effectExtent l="0" t="0" r="0" b="0"/>
            <wp:docPr id="39" name="Wykres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C2C86" w:rsidRDefault="00FC2C86" w:rsidP="00FC2C86">
      <w:pPr>
        <w:tabs>
          <w:tab w:val="left" w:pos="1276"/>
        </w:tabs>
        <w:rPr>
          <w:rFonts w:ascii="Calibri" w:hAnsi="Calibri" w:cs="Calibri"/>
          <w:sz w:val="20"/>
          <w:szCs w:val="20"/>
        </w:rPr>
      </w:pPr>
      <w:r w:rsidRPr="0080695F">
        <w:rPr>
          <w:rFonts w:ascii="Calibri" w:hAnsi="Calibri" w:cs="Calibri"/>
          <w:sz w:val="20"/>
          <w:szCs w:val="20"/>
        </w:rPr>
        <w:t>Źródło: opracowanie własne na podstawie danych GUS.</w:t>
      </w:r>
    </w:p>
    <w:p w:rsidR="00135F07" w:rsidRDefault="00135F07">
      <w:pPr>
        <w:rPr>
          <w:rFonts w:ascii="Calibri" w:hAnsi="Calibri" w:cs="Calibri"/>
          <w:sz w:val="20"/>
          <w:szCs w:val="20"/>
        </w:rPr>
      </w:pPr>
      <w:r>
        <w:rPr>
          <w:rFonts w:ascii="Calibri" w:hAnsi="Calibri" w:cs="Calibri"/>
          <w:b/>
          <w:bCs/>
          <w:sz w:val="20"/>
          <w:szCs w:val="20"/>
        </w:rPr>
        <w:br w:type="page"/>
      </w:r>
    </w:p>
    <w:p w:rsidR="00FC2C86" w:rsidRPr="00AB529D" w:rsidRDefault="00FC2C86" w:rsidP="00AB529D">
      <w:pPr>
        <w:pStyle w:val="Legenda"/>
        <w:spacing w:after="0"/>
        <w:rPr>
          <w:rFonts w:ascii="Calibri" w:hAnsi="Calibri" w:cs="Calibri"/>
          <w:b w:val="0"/>
          <w:color w:val="auto"/>
          <w:sz w:val="20"/>
          <w:szCs w:val="20"/>
        </w:rPr>
      </w:pPr>
      <w:r w:rsidRPr="00AB529D">
        <w:rPr>
          <w:rFonts w:ascii="Calibri" w:hAnsi="Calibri" w:cs="Calibri"/>
          <w:b w:val="0"/>
          <w:color w:val="auto"/>
          <w:sz w:val="20"/>
          <w:szCs w:val="20"/>
        </w:rPr>
        <w:lastRenderedPageBreak/>
        <w:t xml:space="preserve">Wykres </w:t>
      </w:r>
      <w:r w:rsidR="00E07640" w:rsidRPr="00AB529D">
        <w:rPr>
          <w:rFonts w:ascii="Calibri" w:hAnsi="Calibri" w:cs="Calibri"/>
          <w:b w:val="0"/>
          <w:color w:val="auto"/>
          <w:sz w:val="20"/>
          <w:szCs w:val="20"/>
        </w:rPr>
        <w:fldChar w:fldCharType="begin"/>
      </w:r>
      <w:r w:rsidRPr="00AB529D">
        <w:rPr>
          <w:rFonts w:ascii="Calibri" w:hAnsi="Calibri" w:cs="Calibri"/>
          <w:b w:val="0"/>
          <w:color w:val="auto"/>
          <w:sz w:val="20"/>
          <w:szCs w:val="20"/>
        </w:rPr>
        <w:instrText xml:space="preserve"> SEQ Wykres \* ARABIC </w:instrText>
      </w:r>
      <w:r w:rsidR="00E07640" w:rsidRPr="00AB529D">
        <w:rPr>
          <w:rFonts w:ascii="Calibri" w:hAnsi="Calibri" w:cs="Calibri"/>
          <w:b w:val="0"/>
          <w:color w:val="auto"/>
          <w:sz w:val="20"/>
          <w:szCs w:val="20"/>
        </w:rPr>
        <w:fldChar w:fldCharType="separate"/>
      </w:r>
      <w:r w:rsidR="00D540D9">
        <w:rPr>
          <w:rFonts w:ascii="Calibri" w:hAnsi="Calibri" w:cs="Calibri"/>
          <w:b w:val="0"/>
          <w:noProof/>
          <w:color w:val="auto"/>
          <w:sz w:val="20"/>
          <w:szCs w:val="20"/>
        </w:rPr>
        <w:t>7</w:t>
      </w:r>
      <w:r w:rsidR="00E07640" w:rsidRPr="00AB529D">
        <w:rPr>
          <w:rFonts w:ascii="Calibri" w:hAnsi="Calibri" w:cs="Calibri"/>
          <w:b w:val="0"/>
          <w:color w:val="auto"/>
          <w:sz w:val="20"/>
          <w:szCs w:val="20"/>
        </w:rPr>
        <w:fldChar w:fldCharType="end"/>
      </w:r>
      <w:r w:rsidRPr="00AB529D">
        <w:rPr>
          <w:rFonts w:ascii="Calibri" w:hAnsi="Calibri" w:cs="Calibri"/>
          <w:b w:val="0"/>
          <w:color w:val="auto"/>
          <w:sz w:val="20"/>
          <w:szCs w:val="20"/>
        </w:rPr>
        <w:t>.</w:t>
      </w:r>
    </w:p>
    <w:p w:rsidR="00FC2C86" w:rsidRPr="007331A9" w:rsidRDefault="00FC2C86" w:rsidP="00AB529D">
      <w:pPr>
        <w:spacing w:after="0"/>
        <w:jc w:val="center"/>
      </w:pPr>
      <w:r w:rsidRPr="007331A9">
        <w:rPr>
          <w:noProof/>
        </w:rPr>
        <w:drawing>
          <wp:inline distT="0" distB="0" distL="0" distR="0">
            <wp:extent cx="4391246" cy="3806456"/>
            <wp:effectExtent l="0" t="0" r="0" b="0"/>
            <wp:docPr id="4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A7ABC" w:rsidRDefault="00FC2C86" w:rsidP="00AB529D">
      <w:pPr>
        <w:tabs>
          <w:tab w:val="left" w:pos="1276"/>
        </w:tabs>
        <w:rPr>
          <w:rFonts w:ascii="Calibri" w:hAnsi="Calibri" w:cs="Calibri"/>
          <w:sz w:val="20"/>
          <w:szCs w:val="20"/>
        </w:rPr>
      </w:pPr>
      <w:r w:rsidRPr="0080695F">
        <w:rPr>
          <w:rFonts w:ascii="Calibri" w:hAnsi="Calibri" w:cs="Calibri"/>
          <w:sz w:val="20"/>
          <w:szCs w:val="20"/>
        </w:rPr>
        <w:t>Źródło: opracowanie własne na podstawie danych GUS.</w:t>
      </w:r>
    </w:p>
    <w:p w:rsidR="00A806D8" w:rsidRPr="00AB529D" w:rsidRDefault="00A806D8" w:rsidP="00AB529D">
      <w:pPr>
        <w:tabs>
          <w:tab w:val="left" w:pos="1276"/>
        </w:tabs>
        <w:rPr>
          <w:rFonts w:ascii="Calibri" w:hAnsi="Calibri" w:cs="Calibri"/>
          <w:sz w:val="20"/>
          <w:szCs w:val="20"/>
        </w:rPr>
      </w:pPr>
    </w:p>
    <w:p w:rsidR="009A7ABC" w:rsidRPr="00AE3A7B" w:rsidRDefault="00927DA9" w:rsidP="00927DA9">
      <w:pPr>
        <w:pStyle w:val="Nagwek2"/>
        <w:rPr>
          <w:rFonts w:asciiTheme="minorHAnsi" w:hAnsiTheme="minorHAnsi"/>
          <w:color w:val="943634" w:themeColor="accent2" w:themeShade="BF"/>
        </w:rPr>
      </w:pPr>
      <w:bookmarkStart w:id="9" w:name="_Toc321135327"/>
      <w:r w:rsidRPr="00AE3A7B">
        <w:rPr>
          <w:rFonts w:asciiTheme="minorHAnsi" w:hAnsiTheme="minorHAnsi"/>
          <w:color w:val="943634" w:themeColor="accent2" w:themeShade="BF"/>
        </w:rPr>
        <w:t xml:space="preserve">4.4 </w:t>
      </w:r>
      <w:r w:rsidR="009A7ABC" w:rsidRPr="00AE3A7B">
        <w:rPr>
          <w:rFonts w:asciiTheme="minorHAnsi" w:hAnsiTheme="minorHAnsi"/>
          <w:color w:val="943634" w:themeColor="accent2" w:themeShade="BF"/>
        </w:rPr>
        <w:t>Analiza struktury zatrudnienia i rynku pracy w mieście i regionie</w:t>
      </w:r>
      <w:bookmarkEnd w:id="9"/>
    </w:p>
    <w:p w:rsidR="003D08EB" w:rsidRPr="00AE3A7B" w:rsidRDefault="00810E49" w:rsidP="00AB529D">
      <w:pPr>
        <w:spacing w:before="60" w:after="60"/>
        <w:rPr>
          <w:rFonts w:cs="Tahoma"/>
          <w:b/>
          <w:i/>
          <w:color w:val="943634" w:themeColor="accent2" w:themeShade="BF"/>
        </w:rPr>
      </w:pPr>
      <w:r w:rsidRPr="00AE3A7B">
        <w:rPr>
          <w:rFonts w:cs="Tahoma"/>
          <w:b/>
          <w:i/>
          <w:color w:val="943634" w:themeColor="accent2" w:themeShade="BF"/>
        </w:rPr>
        <w:t>Pracujący</w:t>
      </w:r>
    </w:p>
    <w:p w:rsidR="00810E49" w:rsidRDefault="00810E49" w:rsidP="00482AEE">
      <w:pPr>
        <w:spacing w:before="60" w:after="60"/>
        <w:jc w:val="both"/>
        <w:rPr>
          <w:rFonts w:cstheme="minorHAnsi"/>
          <w:sz w:val="20"/>
          <w:szCs w:val="20"/>
        </w:rPr>
      </w:pPr>
      <w:r w:rsidRPr="003E583F">
        <w:rPr>
          <w:rFonts w:ascii="Calibri" w:hAnsi="Calibri" w:cs="Tahoma"/>
        </w:rPr>
        <w:t>Według danych Głównego Urzędu Sta</w:t>
      </w:r>
      <w:r>
        <w:rPr>
          <w:rFonts w:ascii="Calibri" w:hAnsi="Calibri" w:cs="Tahoma"/>
        </w:rPr>
        <w:t>tystycznego w 2010 r. w gminie Pobiedziska</w:t>
      </w:r>
      <w:r w:rsidRPr="003E583F">
        <w:rPr>
          <w:rFonts w:ascii="Calibri" w:hAnsi="Calibri" w:cs="Tahoma"/>
        </w:rPr>
        <w:t xml:space="preserve"> pracowało </w:t>
      </w:r>
      <w:r>
        <w:rPr>
          <w:rFonts w:ascii="Calibri" w:hAnsi="Calibri" w:cs="Tahoma"/>
        </w:rPr>
        <w:t>ponad</w:t>
      </w:r>
      <w:r w:rsidRPr="003E583F">
        <w:rPr>
          <w:rFonts w:ascii="Calibri" w:hAnsi="Calibri" w:cs="Tahoma"/>
        </w:rPr>
        <w:t xml:space="preserve"> </w:t>
      </w:r>
      <w:r>
        <w:rPr>
          <w:rFonts w:ascii="Calibri" w:hAnsi="Calibri" w:cs="Tahoma"/>
        </w:rPr>
        <w:t>2</w:t>
      </w:r>
      <w:r w:rsidR="00E17CE6">
        <w:rPr>
          <w:rFonts w:ascii="Calibri" w:hAnsi="Calibri" w:cs="Tahoma"/>
        </w:rPr>
        <w:t>,1</w:t>
      </w:r>
      <w:r w:rsidRPr="003E583F">
        <w:rPr>
          <w:rFonts w:ascii="Calibri" w:hAnsi="Calibri" w:cs="Tahoma"/>
        </w:rPr>
        <w:t xml:space="preserve"> tys. osób</w:t>
      </w:r>
      <w:r>
        <w:rPr>
          <w:rStyle w:val="Odwoanieprzypisudolnego"/>
          <w:rFonts w:ascii="Calibri" w:hAnsi="Calibri" w:cs="Tahoma"/>
        </w:rPr>
        <w:footnoteReference w:id="2"/>
      </w:r>
      <w:r w:rsidRPr="003E583F">
        <w:rPr>
          <w:rFonts w:ascii="Calibri" w:hAnsi="Calibri" w:cs="Tahoma"/>
        </w:rPr>
        <w:t xml:space="preserve">, spośród których </w:t>
      </w:r>
      <w:r w:rsidR="008318C3">
        <w:rPr>
          <w:rFonts w:ascii="Calibri" w:hAnsi="Calibri" w:cs="Tahoma"/>
        </w:rPr>
        <w:t>blisko 45</w:t>
      </w:r>
      <w:r>
        <w:rPr>
          <w:rFonts w:ascii="Calibri" w:hAnsi="Calibri" w:cs="Tahoma"/>
        </w:rPr>
        <w:t>% stanowiły kobiety</w:t>
      </w:r>
      <w:r w:rsidRPr="003E583F">
        <w:rPr>
          <w:rFonts w:ascii="Calibri" w:hAnsi="Calibri" w:cs="Tahoma"/>
        </w:rPr>
        <w:t xml:space="preserve">. </w:t>
      </w:r>
      <w:r>
        <w:rPr>
          <w:rFonts w:ascii="Calibri" w:hAnsi="Calibri" w:cs="Tahoma"/>
        </w:rPr>
        <w:t>Wśród kobiet z obszaru wiejskiego co trzecia posiadała pracę w podmioci</w:t>
      </w:r>
      <w:r w:rsidR="00272F19">
        <w:rPr>
          <w:rFonts w:ascii="Calibri" w:hAnsi="Calibri" w:cs="Tahoma"/>
        </w:rPr>
        <w:t>e zatrudniającym powyżej 9 osób</w:t>
      </w:r>
      <w:r w:rsidRPr="003E583F">
        <w:rPr>
          <w:rFonts w:ascii="Calibri" w:hAnsi="Calibri" w:cs="Tahoma"/>
        </w:rPr>
        <w:t xml:space="preserve">. </w:t>
      </w:r>
      <w:r w:rsidRPr="006D14A2">
        <w:rPr>
          <w:rFonts w:ascii="Calibri" w:hAnsi="Calibri" w:cs="Tahoma"/>
        </w:rPr>
        <w:t xml:space="preserve">W 2009 r. </w:t>
      </w:r>
      <w:r w:rsidR="001B24FD" w:rsidRPr="00D54EDA">
        <w:rPr>
          <w:rFonts w:ascii="Calibri" w:hAnsi="Calibri" w:cs="Tahoma"/>
        </w:rPr>
        <w:t>w</w:t>
      </w:r>
      <w:r w:rsidR="001B24FD">
        <w:rPr>
          <w:rFonts w:ascii="Calibri" w:hAnsi="Calibri" w:cs="Tahoma"/>
          <w:color w:val="FF0000"/>
        </w:rPr>
        <w:t xml:space="preserve"> </w:t>
      </w:r>
      <w:r w:rsidRPr="006D14A2">
        <w:rPr>
          <w:rFonts w:ascii="Calibri" w:hAnsi="Calibri" w:cs="Tahoma"/>
        </w:rPr>
        <w:t xml:space="preserve">sektorze prywatnym pracowało ponad 55% pracujących. </w:t>
      </w:r>
      <w:r>
        <w:rPr>
          <w:rFonts w:ascii="Calibri" w:hAnsi="Calibri" w:cs="Tahoma"/>
        </w:rPr>
        <w:t>Należy podkreślić, że co druga osoba pracująca był</w:t>
      </w:r>
      <w:r w:rsidR="002241B2">
        <w:rPr>
          <w:rFonts w:ascii="Calibri" w:hAnsi="Calibri" w:cs="Tahoma"/>
        </w:rPr>
        <w:t>a</w:t>
      </w:r>
      <w:r>
        <w:rPr>
          <w:rFonts w:ascii="Calibri" w:hAnsi="Calibri" w:cs="Tahoma"/>
        </w:rPr>
        <w:t xml:space="preserve"> zatrudniona w </w:t>
      </w:r>
      <w:r w:rsidR="00AE26E5">
        <w:rPr>
          <w:rFonts w:ascii="Calibri" w:hAnsi="Calibri" w:cs="Tahoma"/>
        </w:rPr>
        <w:t>przemyśle i budownictwie</w:t>
      </w:r>
      <w:r>
        <w:rPr>
          <w:rFonts w:ascii="Calibri" w:hAnsi="Calibri" w:cs="Tahoma"/>
        </w:rPr>
        <w:t>. W sektorze usługowym pracowało 45% osób zatrudnionych w podmiotach liczących powyżej 9 pracowników.</w:t>
      </w:r>
    </w:p>
    <w:p w:rsidR="00810E49" w:rsidRPr="00B25F9A" w:rsidRDefault="00810E49" w:rsidP="00482AEE">
      <w:pPr>
        <w:spacing w:after="0"/>
        <w:rPr>
          <w:rFonts w:ascii="Calibri" w:hAnsi="Calibri" w:cs="Calibri"/>
          <w:b/>
          <w:sz w:val="20"/>
          <w:szCs w:val="20"/>
        </w:rPr>
      </w:pPr>
      <w:r w:rsidRPr="00B25F9A">
        <w:rPr>
          <w:rFonts w:cstheme="minorHAnsi"/>
          <w:sz w:val="20"/>
          <w:szCs w:val="20"/>
        </w:rPr>
        <w:t xml:space="preserve">Wykres </w:t>
      </w:r>
      <w:r w:rsidR="00E07640" w:rsidRPr="00B25F9A">
        <w:rPr>
          <w:rFonts w:cstheme="minorHAnsi"/>
          <w:b/>
          <w:sz w:val="20"/>
          <w:szCs w:val="20"/>
        </w:rPr>
        <w:fldChar w:fldCharType="begin"/>
      </w:r>
      <w:r w:rsidRPr="00B25F9A">
        <w:rPr>
          <w:rFonts w:cstheme="minorHAnsi"/>
          <w:sz w:val="20"/>
          <w:szCs w:val="20"/>
        </w:rPr>
        <w:instrText xml:space="preserve"> SEQ Wykres \* ARABIC </w:instrText>
      </w:r>
      <w:r w:rsidR="00E07640" w:rsidRPr="00B25F9A">
        <w:rPr>
          <w:rFonts w:cstheme="minorHAnsi"/>
          <w:b/>
          <w:sz w:val="20"/>
          <w:szCs w:val="20"/>
        </w:rPr>
        <w:fldChar w:fldCharType="separate"/>
      </w:r>
      <w:r w:rsidR="00D540D9">
        <w:rPr>
          <w:rFonts w:cstheme="minorHAnsi"/>
          <w:noProof/>
          <w:sz w:val="20"/>
          <w:szCs w:val="20"/>
        </w:rPr>
        <w:t>8</w:t>
      </w:r>
      <w:r w:rsidR="00E07640" w:rsidRPr="00B25F9A">
        <w:rPr>
          <w:rFonts w:cstheme="minorHAnsi"/>
          <w:b/>
          <w:sz w:val="20"/>
          <w:szCs w:val="20"/>
        </w:rPr>
        <w:fldChar w:fldCharType="end"/>
      </w:r>
      <w:r w:rsidRPr="00B25F9A">
        <w:rPr>
          <w:rFonts w:cstheme="minorHAnsi"/>
          <w:sz w:val="20"/>
          <w:szCs w:val="20"/>
        </w:rPr>
        <w:t>.</w:t>
      </w:r>
    </w:p>
    <w:p w:rsidR="00810E49" w:rsidRDefault="00810E49" w:rsidP="00482AEE">
      <w:pPr>
        <w:tabs>
          <w:tab w:val="left" w:pos="1276"/>
        </w:tabs>
        <w:spacing w:after="0"/>
        <w:jc w:val="center"/>
        <w:rPr>
          <w:rFonts w:ascii="Tahoma" w:hAnsi="Tahoma" w:cs="Tahoma"/>
          <w:b/>
          <w:color w:val="002867"/>
          <w:sz w:val="20"/>
          <w:szCs w:val="20"/>
        </w:rPr>
      </w:pPr>
      <w:r w:rsidRPr="006D14A2">
        <w:rPr>
          <w:rFonts w:ascii="Tahoma" w:hAnsi="Tahoma" w:cs="Tahoma"/>
          <w:b/>
          <w:noProof/>
          <w:color w:val="002867"/>
          <w:sz w:val="20"/>
          <w:szCs w:val="20"/>
        </w:rPr>
        <w:drawing>
          <wp:inline distT="0" distB="0" distL="0" distR="0">
            <wp:extent cx="4614530" cy="1690577"/>
            <wp:effectExtent l="0" t="0" r="0" b="0"/>
            <wp:docPr id="41" name="Wykres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10E49" w:rsidRPr="0080695F" w:rsidRDefault="00810E49" w:rsidP="00810E49">
      <w:pPr>
        <w:tabs>
          <w:tab w:val="left" w:pos="1276"/>
        </w:tabs>
        <w:rPr>
          <w:rFonts w:ascii="Calibri" w:hAnsi="Calibri" w:cs="Calibri"/>
          <w:sz w:val="20"/>
          <w:szCs w:val="20"/>
        </w:rPr>
      </w:pPr>
      <w:r w:rsidRPr="0080695F">
        <w:rPr>
          <w:rFonts w:ascii="Calibri" w:hAnsi="Calibri" w:cs="Calibri"/>
          <w:sz w:val="20"/>
          <w:szCs w:val="20"/>
        </w:rPr>
        <w:t>Źródło: opracowanie własne na podstawie danych GUS.</w:t>
      </w:r>
    </w:p>
    <w:p w:rsidR="00F9036A" w:rsidRDefault="00F9036A" w:rsidP="00AE2855">
      <w:pPr>
        <w:tabs>
          <w:tab w:val="left" w:pos="1276"/>
        </w:tabs>
        <w:spacing w:before="60" w:after="0"/>
        <w:jc w:val="both"/>
        <w:rPr>
          <w:rFonts w:ascii="Calibri" w:hAnsi="Calibri" w:cs="Tahoma"/>
        </w:rPr>
      </w:pPr>
      <w:r>
        <w:rPr>
          <w:rFonts w:ascii="Calibri" w:hAnsi="Calibri" w:cs="Tahoma"/>
        </w:rPr>
        <w:lastRenderedPageBreak/>
        <w:t>Do liczby pracujących w średnich i dużych zak</w:t>
      </w:r>
      <w:r w:rsidR="008A0C4E">
        <w:rPr>
          <w:rFonts w:ascii="Calibri" w:hAnsi="Calibri" w:cs="Tahoma"/>
        </w:rPr>
        <w:t>ła</w:t>
      </w:r>
      <w:r w:rsidR="00E139CB">
        <w:rPr>
          <w:rFonts w:ascii="Calibri" w:hAnsi="Calibri" w:cs="Tahoma"/>
        </w:rPr>
        <w:t>dach</w:t>
      </w:r>
      <w:r w:rsidR="0086272F">
        <w:rPr>
          <w:rStyle w:val="Odwoanieprzypisudolnego"/>
          <w:rFonts w:ascii="Calibri" w:hAnsi="Calibri" w:cs="Tahoma"/>
        </w:rPr>
        <w:footnoteReference w:id="3"/>
      </w:r>
      <w:r w:rsidR="00CD779E">
        <w:rPr>
          <w:rFonts w:ascii="Calibri" w:hAnsi="Calibri" w:cs="Tahoma"/>
        </w:rPr>
        <w:t xml:space="preserve"> </w:t>
      </w:r>
      <w:r>
        <w:rPr>
          <w:rFonts w:ascii="Calibri" w:hAnsi="Calibri" w:cs="Tahoma"/>
        </w:rPr>
        <w:t xml:space="preserve">należy dodać </w:t>
      </w:r>
      <w:r w:rsidR="008A0C4E">
        <w:rPr>
          <w:rFonts w:ascii="Calibri" w:hAnsi="Calibri" w:cs="Tahoma"/>
        </w:rPr>
        <w:t>liczbę pracujących</w:t>
      </w:r>
      <w:r>
        <w:rPr>
          <w:rFonts w:ascii="Calibri" w:hAnsi="Calibri" w:cs="Tahoma"/>
        </w:rPr>
        <w:t xml:space="preserve"> </w:t>
      </w:r>
      <w:r w:rsidR="00315AE0">
        <w:rPr>
          <w:rFonts w:ascii="Calibri" w:hAnsi="Calibri" w:cs="Tahoma"/>
        </w:rPr>
        <w:br/>
      </w:r>
      <w:r>
        <w:rPr>
          <w:rFonts w:ascii="Calibri" w:hAnsi="Calibri" w:cs="Tahoma"/>
        </w:rPr>
        <w:t>w mikroprzedsiębiorstwach</w:t>
      </w:r>
      <w:r w:rsidR="00F606D9">
        <w:rPr>
          <w:rFonts w:ascii="Calibri" w:hAnsi="Calibri" w:cs="Tahoma"/>
        </w:rPr>
        <w:t xml:space="preserve"> (</w:t>
      </w:r>
      <w:r w:rsidR="00DA0997" w:rsidRPr="00D54EDA">
        <w:rPr>
          <w:rFonts w:ascii="Calibri" w:hAnsi="Calibri" w:cs="Tahoma"/>
        </w:rPr>
        <w:t>1843</w:t>
      </w:r>
      <w:r w:rsidR="00A852A0" w:rsidRPr="00D54EDA">
        <w:rPr>
          <w:rFonts w:ascii="Calibri" w:hAnsi="Calibri" w:cs="Tahoma"/>
        </w:rPr>
        <w:t xml:space="preserve"> firmy - stan na dzień 19.12.2011r. dane UMiG Pobiedziska</w:t>
      </w:r>
      <w:r w:rsidR="00F606D9">
        <w:rPr>
          <w:rFonts w:ascii="Calibri" w:hAnsi="Calibri" w:cs="Tahoma"/>
        </w:rPr>
        <w:t>)</w:t>
      </w:r>
      <w:r>
        <w:rPr>
          <w:rFonts w:ascii="Calibri" w:hAnsi="Calibri" w:cs="Tahoma"/>
        </w:rPr>
        <w:t xml:space="preserve">, które </w:t>
      </w:r>
      <w:r w:rsidR="008A0C4E">
        <w:rPr>
          <w:rFonts w:ascii="Calibri" w:hAnsi="Calibri" w:cs="Tahoma"/>
        </w:rPr>
        <w:t>mogą zatrudniać do 9 pracowników</w:t>
      </w:r>
      <w:r w:rsidR="00F606D9">
        <w:rPr>
          <w:rFonts w:ascii="Calibri" w:hAnsi="Calibri" w:cs="Tahoma"/>
        </w:rPr>
        <w:t>.</w:t>
      </w:r>
    </w:p>
    <w:p w:rsidR="00272F19" w:rsidRDefault="00272F19" w:rsidP="00AE2855">
      <w:pPr>
        <w:tabs>
          <w:tab w:val="left" w:pos="1276"/>
        </w:tabs>
        <w:spacing w:before="60" w:after="0"/>
        <w:jc w:val="both"/>
        <w:rPr>
          <w:rFonts w:ascii="Calibri" w:hAnsi="Calibri" w:cs="Tahoma"/>
        </w:rPr>
      </w:pPr>
      <w:r>
        <w:rPr>
          <w:rFonts w:ascii="Calibri" w:hAnsi="Calibri" w:cs="Tahoma"/>
        </w:rPr>
        <w:t xml:space="preserve">Ponadto według przeprowadzonych w 2006 r. </w:t>
      </w:r>
      <w:r w:rsidR="00D57600">
        <w:rPr>
          <w:rFonts w:ascii="Calibri" w:hAnsi="Calibri" w:cs="Tahoma"/>
        </w:rPr>
        <w:t xml:space="preserve">przez GUS badań przepływów ludności związanych </w:t>
      </w:r>
      <w:r w:rsidR="00315AE0">
        <w:rPr>
          <w:rFonts w:ascii="Calibri" w:hAnsi="Calibri" w:cs="Tahoma"/>
        </w:rPr>
        <w:br/>
      </w:r>
      <w:r w:rsidR="00D57600">
        <w:rPr>
          <w:rFonts w:ascii="Calibri" w:hAnsi="Calibri" w:cs="Tahoma"/>
        </w:rPr>
        <w:t>z zatrudnieniem (dojazdy do pracy)</w:t>
      </w:r>
      <w:r w:rsidR="00F9036A" w:rsidRPr="00F9036A">
        <w:rPr>
          <w:rStyle w:val="Odwoanieprzypisudolnego"/>
          <w:rFonts w:ascii="Calibri" w:hAnsi="Calibri" w:cs="Tahoma"/>
        </w:rPr>
        <w:t xml:space="preserve"> </w:t>
      </w:r>
      <w:r w:rsidR="00F9036A">
        <w:rPr>
          <w:rStyle w:val="Odwoanieprzypisudolnego"/>
          <w:rFonts w:ascii="Calibri" w:hAnsi="Calibri" w:cs="Tahoma"/>
        </w:rPr>
        <w:footnoteReference w:id="4"/>
      </w:r>
      <w:r w:rsidR="00D57600">
        <w:rPr>
          <w:rFonts w:ascii="Calibri" w:hAnsi="Calibri" w:cs="Tahoma"/>
        </w:rPr>
        <w:t xml:space="preserve"> </w:t>
      </w:r>
      <w:r w:rsidR="00D57600" w:rsidRPr="00D57600">
        <w:rPr>
          <w:rFonts w:ascii="Calibri" w:hAnsi="Calibri" w:cs="Tahoma"/>
        </w:rPr>
        <w:t>liczba osób wyjeżdżających do pracy</w:t>
      </w:r>
      <w:r w:rsidR="00D57600">
        <w:rPr>
          <w:rFonts w:ascii="Calibri" w:hAnsi="Calibri" w:cs="Tahoma"/>
        </w:rPr>
        <w:t xml:space="preserve"> z gminy Pobiedziska wynosiła </w:t>
      </w:r>
      <w:r w:rsidR="00C77E63">
        <w:rPr>
          <w:rFonts w:ascii="Calibri" w:hAnsi="Calibri" w:cs="Tahoma"/>
        </w:rPr>
        <w:t xml:space="preserve">ponad </w:t>
      </w:r>
      <w:r w:rsidR="00D57600">
        <w:rPr>
          <w:rFonts w:ascii="Calibri" w:hAnsi="Calibri" w:cs="Tahoma"/>
        </w:rPr>
        <w:t>2,3 tys.</w:t>
      </w:r>
      <w:r w:rsidR="00F9036A">
        <w:rPr>
          <w:rFonts w:ascii="Calibri" w:hAnsi="Calibri" w:cs="Tahoma"/>
        </w:rPr>
        <w:t xml:space="preserve"> Znaczący udział stanowili wyjeżdżający do pracy w Poznaniu.</w:t>
      </w:r>
    </w:p>
    <w:p w:rsidR="00810E49" w:rsidRPr="00211969" w:rsidRDefault="00810E49" w:rsidP="00AE2855">
      <w:pPr>
        <w:tabs>
          <w:tab w:val="left" w:pos="1276"/>
        </w:tabs>
        <w:spacing w:before="60" w:after="0"/>
        <w:jc w:val="both"/>
        <w:rPr>
          <w:rFonts w:ascii="Calibri" w:hAnsi="Calibri" w:cs="Tahoma"/>
        </w:rPr>
      </w:pPr>
      <w:r w:rsidRPr="00211969">
        <w:rPr>
          <w:rFonts w:ascii="Calibri" w:hAnsi="Calibri" w:cs="Tahoma"/>
        </w:rPr>
        <w:t>W gronie podmiotów o największej liczbie</w:t>
      </w:r>
      <w:r w:rsidR="00D64440">
        <w:rPr>
          <w:rFonts w:ascii="Calibri" w:hAnsi="Calibri" w:cs="Tahoma"/>
        </w:rPr>
        <w:t xml:space="preserve"> pracowników znajdują się m.in.</w:t>
      </w:r>
    </w:p>
    <w:p w:rsidR="00810E49" w:rsidRPr="00211969" w:rsidRDefault="00810E49" w:rsidP="00A806D8">
      <w:pPr>
        <w:pStyle w:val="Akapitzlist"/>
        <w:numPr>
          <w:ilvl w:val="0"/>
          <w:numId w:val="21"/>
        </w:numPr>
        <w:tabs>
          <w:tab w:val="left" w:pos="1276"/>
        </w:tabs>
        <w:spacing w:line="276" w:lineRule="auto"/>
        <w:ind w:left="714" w:hanging="357"/>
        <w:jc w:val="both"/>
        <w:rPr>
          <w:rFonts w:ascii="Calibri" w:hAnsi="Calibri" w:cs="Tahoma"/>
          <w:sz w:val="22"/>
          <w:szCs w:val="22"/>
        </w:rPr>
      </w:pPr>
      <w:r w:rsidRPr="00211969">
        <w:rPr>
          <w:rFonts w:ascii="Calibri" w:hAnsi="Calibri" w:cs="Tahoma"/>
          <w:sz w:val="22"/>
          <w:szCs w:val="22"/>
        </w:rPr>
        <w:t>Synteza Sp. z o.</w:t>
      </w:r>
      <w:r w:rsidR="005F6984">
        <w:rPr>
          <w:rFonts w:ascii="Calibri" w:hAnsi="Calibri" w:cs="Tahoma"/>
          <w:sz w:val="22"/>
          <w:szCs w:val="22"/>
        </w:rPr>
        <w:t xml:space="preserve"> </w:t>
      </w:r>
      <w:r w:rsidRPr="00211969">
        <w:rPr>
          <w:rFonts w:ascii="Calibri" w:hAnsi="Calibri" w:cs="Tahoma"/>
          <w:sz w:val="22"/>
          <w:szCs w:val="22"/>
        </w:rPr>
        <w:t xml:space="preserve">o. wytwarza substancje dla przemysłu chemicznego, spożywczego </w:t>
      </w:r>
      <w:r w:rsidR="00315AE0">
        <w:rPr>
          <w:rFonts w:ascii="Calibri" w:hAnsi="Calibri" w:cs="Tahoma"/>
          <w:sz w:val="22"/>
          <w:szCs w:val="22"/>
        </w:rPr>
        <w:br/>
      </w:r>
      <w:r w:rsidRPr="00211969">
        <w:rPr>
          <w:rFonts w:ascii="Calibri" w:hAnsi="Calibri" w:cs="Tahoma"/>
          <w:sz w:val="22"/>
          <w:szCs w:val="22"/>
        </w:rPr>
        <w:t>i kosmetycznego oraz substancje aktywne leków dla potrzeb przemysłu farmaceutycznego;</w:t>
      </w:r>
    </w:p>
    <w:p w:rsidR="00810E49" w:rsidRPr="00211969" w:rsidRDefault="00810E49" w:rsidP="00A806D8">
      <w:pPr>
        <w:pStyle w:val="Akapitzlist"/>
        <w:numPr>
          <w:ilvl w:val="0"/>
          <w:numId w:val="21"/>
        </w:numPr>
        <w:tabs>
          <w:tab w:val="left" w:pos="1276"/>
        </w:tabs>
        <w:spacing w:line="276" w:lineRule="auto"/>
        <w:ind w:left="714" w:hanging="357"/>
        <w:jc w:val="both"/>
        <w:rPr>
          <w:rFonts w:ascii="Calibri" w:hAnsi="Calibri" w:cs="Tahoma"/>
          <w:sz w:val="22"/>
          <w:szCs w:val="22"/>
        </w:rPr>
      </w:pPr>
      <w:r w:rsidRPr="00211969">
        <w:rPr>
          <w:rFonts w:ascii="Calibri" w:hAnsi="Calibri" w:cs="Tahoma"/>
          <w:sz w:val="22"/>
          <w:szCs w:val="22"/>
        </w:rPr>
        <w:t>Vitrosilicon S.A. – w zakładzie produkcyjnym w Pobiedziskach produkowane są opakowania szklane;</w:t>
      </w:r>
    </w:p>
    <w:p w:rsidR="00810E49" w:rsidRDefault="00810E49" w:rsidP="00A806D8">
      <w:pPr>
        <w:pStyle w:val="Akapitzlist"/>
        <w:numPr>
          <w:ilvl w:val="0"/>
          <w:numId w:val="21"/>
        </w:numPr>
        <w:tabs>
          <w:tab w:val="left" w:pos="1276"/>
        </w:tabs>
        <w:spacing w:line="276" w:lineRule="auto"/>
        <w:ind w:left="714" w:hanging="357"/>
        <w:jc w:val="both"/>
        <w:rPr>
          <w:rFonts w:ascii="Calibri" w:hAnsi="Calibri" w:cs="Tahoma"/>
          <w:sz w:val="22"/>
          <w:szCs w:val="22"/>
        </w:rPr>
      </w:pPr>
      <w:r w:rsidRPr="00211969">
        <w:rPr>
          <w:rFonts w:ascii="Calibri" w:hAnsi="Calibri" w:cs="Tahoma"/>
          <w:sz w:val="22"/>
          <w:szCs w:val="22"/>
        </w:rPr>
        <w:t>Baumit Sp. z o.o. – Zakład Produkcyjny Pobiedziska, spółka działająca w branży budowlanej;</w:t>
      </w:r>
    </w:p>
    <w:p w:rsidR="00810E49" w:rsidRDefault="00810E49" w:rsidP="00A806D8">
      <w:pPr>
        <w:pStyle w:val="Akapitzlist"/>
        <w:numPr>
          <w:ilvl w:val="0"/>
          <w:numId w:val="21"/>
        </w:numPr>
        <w:tabs>
          <w:tab w:val="left" w:pos="1276"/>
        </w:tabs>
        <w:spacing w:line="276" w:lineRule="auto"/>
        <w:ind w:left="714" w:hanging="357"/>
        <w:jc w:val="both"/>
        <w:rPr>
          <w:rFonts w:ascii="Calibri" w:hAnsi="Calibri" w:cs="Tahoma"/>
          <w:sz w:val="22"/>
          <w:szCs w:val="22"/>
        </w:rPr>
      </w:pPr>
      <w:r>
        <w:rPr>
          <w:rFonts w:ascii="Calibri" w:hAnsi="Calibri" w:cs="Tahoma"/>
          <w:sz w:val="22"/>
          <w:szCs w:val="22"/>
        </w:rPr>
        <w:t>Plastivan Polska w Biskupicach – firma zajmująca się produkcją i dystrybucją profili budowlanych i wykończeniowych z PCV;</w:t>
      </w:r>
    </w:p>
    <w:p w:rsidR="00810E49" w:rsidRDefault="005E240F" w:rsidP="00A806D8">
      <w:pPr>
        <w:pStyle w:val="Akapitzlist"/>
        <w:numPr>
          <w:ilvl w:val="0"/>
          <w:numId w:val="21"/>
        </w:numPr>
        <w:tabs>
          <w:tab w:val="left" w:pos="1276"/>
        </w:tabs>
        <w:spacing w:line="276" w:lineRule="auto"/>
        <w:ind w:left="714" w:hanging="357"/>
        <w:jc w:val="both"/>
        <w:rPr>
          <w:rFonts w:asciiTheme="minorHAnsi" w:hAnsiTheme="minorHAnsi" w:cstheme="minorHAnsi"/>
          <w:sz w:val="22"/>
          <w:szCs w:val="22"/>
        </w:rPr>
      </w:pPr>
      <w:r w:rsidRPr="005E240F">
        <w:rPr>
          <w:rFonts w:ascii="Calibri" w:hAnsi="Calibri" w:cs="Tahoma"/>
          <w:sz w:val="22"/>
          <w:szCs w:val="22"/>
        </w:rPr>
        <w:t xml:space="preserve">PUP TIP-TOPOL Sp. z o.o. </w:t>
      </w:r>
      <w:r w:rsidRPr="005E240F">
        <w:rPr>
          <w:rFonts w:asciiTheme="minorHAnsi" w:hAnsiTheme="minorHAnsi" w:cstheme="minorHAnsi"/>
          <w:sz w:val="22"/>
          <w:szCs w:val="22"/>
        </w:rPr>
        <w:t xml:space="preserve">– firma oferująca urządzenia do serwisów oponiarskich, warsztatów, producent membran do zawieszeń pneumatycznych samochodów ciężarowych </w:t>
      </w:r>
      <w:r w:rsidR="00315AE0">
        <w:rPr>
          <w:rFonts w:asciiTheme="minorHAnsi" w:hAnsiTheme="minorHAnsi" w:cstheme="minorHAnsi"/>
          <w:sz w:val="22"/>
          <w:szCs w:val="22"/>
        </w:rPr>
        <w:br/>
      </w:r>
      <w:r w:rsidRPr="005E240F">
        <w:rPr>
          <w:rFonts w:asciiTheme="minorHAnsi" w:hAnsiTheme="minorHAnsi" w:cstheme="minorHAnsi"/>
          <w:sz w:val="22"/>
          <w:szCs w:val="22"/>
        </w:rPr>
        <w:t>i autobusów</w:t>
      </w:r>
      <w:r>
        <w:rPr>
          <w:rFonts w:asciiTheme="minorHAnsi" w:hAnsiTheme="minorHAnsi" w:cstheme="minorHAnsi"/>
          <w:sz w:val="22"/>
          <w:szCs w:val="22"/>
        </w:rPr>
        <w:t>;</w:t>
      </w:r>
    </w:p>
    <w:p w:rsidR="0091076D" w:rsidRDefault="005E240F" w:rsidP="00A806D8">
      <w:pPr>
        <w:pStyle w:val="Akapitzlist"/>
        <w:numPr>
          <w:ilvl w:val="0"/>
          <w:numId w:val="21"/>
        </w:numPr>
        <w:tabs>
          <w:tab w:val="left" w:pos="1276"/>
        </w:tabs>
        <w:spacing w:line="276" w:lineRule="auto"/>
        <w:ind w:left="714" w:hanging="357"/>
        <w:jc w:val="both"/>
        <w:rPr>
          <w:rFonts w:asciiTheme="minorHAnsi" w:hAnsiTheme="minorHAnsi" w:cstheme="minorHAnsi"/>
          <w:sz w:val="22"/>
          <w:szCs w:val="22"/>
        </w:rPr>
      </w:pPr>
      <w:r>
        <w:rPr>
          <w:rFonts w:ascii="Calibri" w:hAnsi="Calibri" w:cs="Tahoma"/>
          <w:sz w:val="22"/>
          <w:szCs w:val="22"/>
        </w:rPr>
        <w:t>Amro Sp.</w:t>
      </w:r>
      <w:r>
        <w:rPr>
          <w:rFonts w:asciiTheme="minorHAnsi" w:hAnsiTheme="minorHAnsi" w:cstheme="minorHAnsi"/>
          <w:sz w:val="22"/>
          <w:szCs w:val="22"/>
        </w:rPr>
        <w:t xml:space="preserve"> z o.o. – firma transportowo</w:t>
      </w:r>
      <w:r w:rsidR="004B0D1E">
        <w:rPr>
          <w:rFonts w:asciiTheme="minorHAnsi" w:hAnsiTheme="minorHAnsi" w:cstheme="minorHAnsi"/>
          <w:sz w:val="22"/>
          <w:szCs w:val="22"/>
        </w:rPr>
        <w:t>-spedycyjna,</w:t>
      </w:r>
    </w:p>
    <w:p w:rsidR="004B0D1E" w:rsidRPr="00D64440" w:rsidRDefault="004B0D1E" w:rsidP="00A806D8">
      <w:pPr>
        <w:pStyle w:val="Akapitzlist"/>
        <w:numPr>
          <w:ilvl w:val="0"/>
          <w:numId w:val="21"/>
        </w:numPr>
        <w:tabs>
          <w:tab w:val="left" w:pos="1276"/>
        </w:tabs>
        <w:spacing w:line="276" w:lineRule="auto"/>
        <w:ind w:left="714" w:hanging="357"/>
        <w:jc w:val="both"/>
        <w:rPr>
          <w:rFonts w:asciiTheme="minorHAnsi" w:hAnsiTheme="minorHAnsi" w:cstheme="minorHAnsi"/>
          <w:sz w:val="22"/>
          <w:szCs w:val="22"/>
        </w:rPr>
      </w:pPr>
      <w:r w:rsidRPr="00D64440">
        <w:rPr>
          <w:rFonts w:asciiTheme="minorHAnsi" w:hAnsiTheme="minorHAnsi" w:cstheme="minorHAnsi"/>
          <w:sz w:val="22"/>
          <w:szCs w:val="22"/>
        </w:rPr>
        <w:t>Modertrans Poznań Sp. Z o.o. Oddział Biskupice- naprawa autobusów, produkcja tramwajów</w:t>
      </w:r>
      <w:r w:rsidR="00D91858" w:rsidRPr="00D64440">
        <w:rPr>
          <w:rFonts w:asciiTheme="minorHAnsi" w:hAnsiTheme="minorHAnsi" w:cstheme="minorHAnsi"/>
          <w:sz w:val="22"/>
          <w:szCs w:val="22"/>
        </w:rPr>
        <w:t>.</w:t>
      </w:r>
    </w:p>
    <w:p w:rsidR="004B0D1E" w:rsidRPr="00D91858" w:rsidRDefault="004B0D1E" w:rsidP="00D91858">
      <w:pPr>
        <w:pStyle w:val="Akapitzlist"/>
        <w:tabs>
          <w:tab w:val="left" w:pos="1276"/>
        </w:tabs>
        <w:spacing w:line="276" w:lineRule="auto"/>
        <w:ind w:left="714"/>
        <w:jc w:val="both"/>
        <w:rPr>
          <w:rFonts w:asciiTheme="minorHAnsi" w:hAnsiTheme="minorHAnsi" w:cstheme="minorHAnsi"/>
          <w:sz w:val="22"/>
          <w:szCs w:val="22"/>
        </w:rPr>
      </w:pPr>
    </w:p>
    <w:p w:rsidR="00810E49" w:rsidRPr="00482AEE" w:rsidRDefault="00810E49" w:rsidP="00482AEE">
      <w:pPr>
        <w:spacing w:before="120" w:after="120"/>
        <w:rPr>
          <w:rFonts w:cs="Tahoma"/>
          <w:b/>
          <w:i/>
          <w:color w:val="943634" w:themeColor="accent2" w:themeShade="BF"/>
        </w:rPr>
      </w:pPr>
      <w:r w:rsidRPr="00482AEE">
        <w:rPr>
          <w:rFonts w:cs="Tahoma"/>
          <w:b/>
          <w:i/>
          <w:color w:val="943634" w:themeColor="accent2" w:themeShade="BF"/>
        </w:rPr>
        <w:t>Bezrobocie</w:t>
      </w:r>
    </w:p>
    <w:p w:rsidR="00810E49" w:rsidRDefault="00810E49" w:rsidP="00482AEE">
      <w:pPr>
        <w:spacing w:before="60" w:after="60"/>
        <w:jc w:val="both"/>
        <w:rPr>
          <w:rFonts w:ascii="Calibri" w:hAnsi="Calibri" w:cs="Calibri"/>
        </w:rPr>
      </w:pPr>
      <w:r w:rsidRPr="00C3675E">
        <w:rPr>
          <w:rFonts w:ascii="Calibri" w:hAnsi="Calibri" w:cs="Calibri"/>
        </w:rPr>
        <w:t xml:space="preserve">Według danych GUS na koniec 2010 roku w gminie Pobiedziska bez pracy pozostawało 318 osób, spośród których niewiele ponad połowę stanowiły kobiety (51%). Do roku 2008 liczba bezrobotnych gwałtownie spadała (spadek o 60% w stosunku do roku 2003), jednak kryzys gospodarczy </w:t>
      </w:r>
      <w:r w:rsidR="00315AE0">
        <w:rPr>
          <w:rFonts w:ascii="Calibri" w:hAnsi="Calibri" w:cs="Calibri"/>
        </w:rPr>
        <w:br/>
      </w:r>
      <w:r w:rsidRPr="00C3675E">
        <w:rPr>
          <w:rFonts w:ascii="Calibri" w:hAnsi="Calibri" w:cs="Calibri"/>
        </w:rPr>
        <w:t>w negatywny sposób odbił się na rynku pracy i w 2009 r. nastąpił wzrost liczby osób pozostających bez pracy. Na koniec 2010 r. 75% bezrobotnych nie posiadało prawa do zasiłku.</w:t>
      </w:r>
    </w:p>
    <w:p w:rsidR="00A806D8" w:rsidRDefault="00A806D8">
      <w:pPr>
        <w:rPr>
          <w:rFonts w:ascii="Calibri" w:hAnsi="Calibri" w:cs="Calibri"/>
        </w:rPr>
      </w:pPr>
      <w:r>
        <w:rPr>
          <w:rFonts w:ascii="Calibri" w:hAnsi="Calibri" w:cs="Calibri"/>
          <w:b/>
          <w:bCs/>
        </w:rPr>
        <w:br w:type="page"/>
      </w:r>
    </w:p>
    <w:p w:rsidR="00810E49" w:rsidRPr="00482AEE" w:rsidRDefault="00810E49" w:rsidP="00482AEE">
      <w:pPr>
        <w:pStyle w:val="Legenda"/>
        <w:spacing w:after="0" w:line="276" w:lineRule="auto"/>
        <w:rPr>
          <w:rFonts w:cstheme="minorHAnsi"/>
          <w:b w:val="0"/>
          <w:color w:val="auto"/>
          <w:sz w:val="20"/>
          <w:szCs w:val="20"/>
        </w:rPr>
      </w:pPr>
      <w:r w:rsidRPr="00482AEE">
        <w:rPr>
          <w:rFonts w:cstheme="minorHAnsi"/>
          <w:b w:val="0"/>
          <w:color w:val="auto"/>
          <w:sz w:val="20"/>
          <w:szCs w:val="20"/>
        </w:rPr>
        <w:lastRenderedPageBreak/>
        <w:t xml:space="preserve">Wykres </w:t>
      </w:r>
      <w:r w:rsidR="00E07640" w:rsidRPr="00482AEE">
        <w:rPr>
          <w:rFonts w:cstheme="minorHAnsi"/>
          <w:b w:val="0"/>
          <w:color w:val="auto"/>
          <w:sz w:val="20"/>
          <w:szCs w:val="20"/>
        </w:rPr>
        <w:fldChar w:fldCharType="begin"/>
      </w:r>
      <w:r w:rsidRPr="00482AEE">
        <w:rPr>
          <w:rFonts w:cstheme="minorHAnsi"/>
          <w:b w:val="0"/>
          <w:color w:val="auto"/>
          <w:sz w:val="20"/>
          <w:szCs w:val="20"/>
        </w:rPr>
        <w:instrText xml:space="preserve"> SEQ Wykres \* ARABIC </w:instrText>
      </w:r>
      <w:r w:rsidR="00E07640" w:rsidRPr="00482AEE">
        <w:rPr>
          <w:rFonts w:cstheme="minorHAnsi"/>
          <w:b w:val="0"/>
          <w:color w:val="auto"/>
          <w:sz w:val="20"/>
          <w:szCs w:val="20"/>
        </w:rPr>
        <w:fldChar w:fldCharType="separate"/>
      </w:r>
      <w:r w:rsidR="00D540D9">
        <w:rPr>
          <w:rFonts w:cstheme="minorHAnsi"/>
          <w:b w:val="0"/>
          <w:noProof/>
          <w:color w:val="auto"/>
          <w:sz w:val="20"/>
          <w:szCs w:val="20"/>
        </w:rPr>
        <w:t>9</w:t>
      </w:r>
      <w:r w:rsidR="00E07640" w:rsidRPr="00482AEE">
        <w:rPr>
          <w:rFonts w:cstheme="minorHAnsi"/>
          <w:b w:val="0"/>
          <w:color w:val="auto"/>
          <w:sz w:val="20"/>
          <w:szCs w:val="20"/>
        </w:rPr>
        <w:fldChar w:fldCharType="end"/>
      </w:r>
      <w:r w:rsidRPr="00482AEE">
        <w:rPr>
          <w:rFonts w:cstheme="minorHAnsi"/>
          <w:b w:val="0"/>
          <w:color w:val="auto"/>
          <w:sz w:val="20"/>
          <w:szCs w:val="20"/>
        </w:rPr>
        <w:t>.</w:t>
      </w:r>
    </w:p>
    <w:p w:rsidR="00810E49" w:rsidRPr="00482AEE" w:rsidRDefault="00810E49" w:rsidP="00482AEE">
      <w:pPr>
        <w:pStyle w:val="Legenda"/>
        <w:spacing w:after="0" w:line="276" w:lineRule="auto"/>
        <w:jc w:val="center"/>
        <w:rPr>
          <w:rFonts w:ascii="Calibri" w:hAnsi="Calibri" w:cs="Calibri"/>
          <w:color w:val="auto"/>
        </w:rPr>
      </w:pPr>
      <w:r w:rsidRPr="00CC011D">
        <w:rPr>
          <w:rFonts w:ascii="Calibri" w:hAnsi="Calibri" w:cs="Calibri"/>
          <w:noProof/>
        </w:rPr>
        <w:drawing>
          <wp:inline distT="0" distB="0" distL="0" distR="0">
            <wp:extent cx="3912781" cy="2264735"/>
            <wp:effectExtent l="0" t="0" r="0" b="0"/>
            <wp:docPr id="2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0E49" w:rsidRDefault="00810E49" w:rsidP="008A0C4E">
      <w:pPr>
        <w:tabs>
          <w:tab w:val="left" w:pos="1276"/>
        </w:tabs>
        <w:spacing w:after="0"/>
        <w:rPr>
          <w:rFonts w:ascii="Tahoma" w:hAnsi="Tahoma" w:cs="Tahoma"/>
          <w:b/>
          <w:color w:val="002867"/>
          <w:sz w:val="20"/>
          <w:szCs w:val="20"/>
        </w:rPr>
      </w:pPr>
      <w:r w:rsidRPr="0080695F">
        <w:rPr>
          <w:rFonts w:ascii="Calibri" w:hAnsi="Calibri" w:cs="Calibri"/>
          <w:sz w:val="20"/>
          <w:szCs w:val="20"/>
        </w:rPr>
        <w:t>Źródło: opracowanie własne na podstawie danych GUS.</w:t>
      </w:r>
    </w:p>
    <w:p w:rsidR="00810E49" w:rsidRDefault="00810E49" w:rsidP="008A0C4E">
      <w:pPr>
        <w:tabs>
          <w:tab w:val="left" w:pos="1276"/>
        </w:tabs>
        <w:spacing w:after="0"/>
        <w:jc w:val="both"/>
        <w:rPr>
          <w:rFonts w:ascii="Calibri" w:hAnsi="Calibri" w:cs="Calibri"/>
        </w:rPr>
      </w:pPr>
      <w:r w:rsidRPr="00486631">
        <w:rPr>
          <w:rFonts w:ascii="Calibri" w:hAnsi="Calibri" w:cs="Calibri"/>
        </w:rPr>
        <w:t>W 2010 r. co piąta osoba bezrobotna była w wieku po</w:t>
      </w:r>
      <w:r w:rsidR="008A0C4E">
        <w:rPr>
          <w:rFonts w:ascii="Calibri" w:hAnsi="Calibri" w:cs="Calibri"/>
        </w:rPr>
        <w:t xml:space="preserve">wyżej 50 roku życia, natomiast osoby </w:t>
      </w:r>
      <w:r w:rsidRPr="00486631">
        <w:rPr>
          <w:rFonts w:ascii="Calibri" w:hAnsi="Calibri" w:cs="Calibri"/>
        </w:rPr>
        <w:t>młode do 25 roku życia stanowiły 26% osób bezrobotnych. Co piąta osoba bezrobotna zaliczała się do grupy osób długotrwale bezrobotnych. Ponad połowa (53%) bezrobotnych nie posiadała wykształcenia średniego.</w:t>
      </w:r>
    </w:p>
    <w:p w:rsidR="00810E49" w:rsidRPr="00FF285B" w:rsidRDefault="00810E49" w:rsidP="00FF285B">
      <w:pPr>
        <w:pStyle w:val="Legenda"/>
        <w:spacing w:after="0"/>
        <w:rPr>
          <w:rFonts w:cstheme="minorHAnsi"/>
          <w:b w:val="0"/>
          <w:color w:val="auto"/>
          <w:sz w:val="20"/>
          <w:szCs w:val="20"/>
        </w:rPr>
      </w:pPr>
      <w:r w:rsidRPr="00FF285B">
        <w:rPr>
          <w:rFonts w:cstheme="minorHAnsi"/>
          <w:b w:val="0"/>
          <w:color w:val="auto"/>
          <w:sz w:val="20"/>
          <w:szCs w:val="20"/>
        </w:rPr>
        <w:t xml:space="preserve">Wykres </w:t>
      </w:r>
      <w:r w:rsidR="00E07640" w:rsidRPr="00FF285B">
        <w:rPr>
          <w:rFonts w:cstheme="minorHAnsi"/>
          <w:b w:val="0"/>
          <w:color w:val="auto"/>
          <w:sz w:val="20"/>
          <w:szCs w:val="20"/>
        </w:rPr>
        <w:fldChar w:fldCharType="begin"/>
      </w:r>
      <w:r w:rsidRPr="00FF285B">
        <w:rPr>
          <w:rFonts w:cstheme="minorHAnsi"/>
          <w:b w:val="0"/>
          <w:color w:val="auto"/>
          <w:sz w:val="20"/>
          <w:szCs w:val="20"/>
        </w:rPr>
        <w:instrText xml:space="preserve"> SEQ Wykres \* ARABIC </w:instrText>
      </w:r>
      <w:r w:rsidR="00E07640" w:rsidRPr="00FF285B">
        <w:rPr>
          <w:rFonts w:cstheme="minorHAnsi"/>
          <w:b w:val="0"/>
          <w:color w:val="auto"/>
          <w:sz w:val="20"/>
          <w:szCs w:val="20"/>
        </w:rPr>
        <w:fldChar w:fldCharType="separate"/>
      </w:r>
      <w:r w:rsidR="00D540D9">
        <w:rPr>
          <w:rFonts w:cstheme="minorHAnsi"/>
          <w:b w:val="0"/>
          <w:noProof/>
          <w:color w:val="auto"/>
          <w:sz w:val="20"/>
          <w:szCs w:val="20"/>
        </w:rPr>
        <w:t>10</w:t>
      </w:r>
      <w:r w:rsidR="00E07640" w:rsidRPr="00FF285B">
        <w:rPr>
          <w:rFonts w:cstheme="minorHAnsi"/>
          <w:b w:val="0"/>
          <w:color w:val="auto"/>
          <w:sz w:val="20"/>
          <w:szCs w:val="20"/>
        </w:rPr>
        <w:fldChar w:fldCharType="end"/>
      </w:r>
      <w:r w:rsidRPr="00FF285B">
        <w:rPr>
          <w:rFonts w:cstheme="minorHAnsi"/>
          <w:b w:val="0"/>
          <w:color w:val="auto"/>
          <w:sz w:val="20"/>
          <w:szCs w:val="20"/>
        </w:rPr>
        <w:t>.</w:t>
      </w:r>
    </w:p>
    <w:p w:rsidR="00810E49" w:rsidRPr="004E2951" w:rsidRDefault="00810E49" w:rsidP="00FF285B">
      <w:pPr>
        <w:tabs>
          <w:tab w:val="left" w:pos="1276"/>
        </w:tabs>
        <w:spacing w:after="0"/>
        <w:jc w:val="center"/>
        <w:rPr>
          <w:rFonts w:ascii="Calibri" w:hAnsi="Calibri" w:cs="Calibri"/>
        </w:rPr>
      </w:pPr>
      <w:r w:rsidRPr="00E05EBE">
        <w:rPr>
          <w:rFonts w:ascii="Calibri" w:hAnsi="Calibri" w:cs="Calibri"/>
          <w:noProof/>
        </w:rPr>
        <w:drawing>
          <wp:inline distT="0" distB="0" distL="0" distR="0">
            <wp:extent cx="2881423" cy="2456121"/>
            <wp:effectExtent l="0" t="0" r="0" b="0"/>
            <wp:docPr id="4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10E49" w:rsidRDefault="00810E49" w:rsidP="00810E49">
      <w:pPr>
        <w:tabs>
          <w:tab w:val="left" w:pos="1276"/>
        </w:tabs>
        <w:rPr>
          <w:rFonts w:ascii="Calibri" w:hAnsi="Calibri" w:cs="Calibri"/>
          <w:sz w:val="20"/>
          <w:szCs w:val="20"/>
        </w:rPr>
      </w:pPr>
      <w:r w:rsidRPr="0080695F">
        <w:rPr>
          <w:rFonts w:ascii="Calibri" w:hAnsi="Calibri" w:cs="Calibri"/>
          <w:sz w:val="20"/>
          <w:szCs w:val="20"/>
        </w:rPr>
        <w:t>Źródło: opracowanie własne na podstawie danych GUS.</w:t>
      </w:r>
    </w:p>
    <w:p w:rsidR="004E2B5D" w:rsidRDefault="004E2B5D">
      <w:pPr>
        <w:rPr>
          <w:rFonts w:ascii="Calibri" w:hAnsi="Calibri" w:cs="Calibri"/>
          <w:sz w:val="20"/>
          <w:szCs w:val="20"/>
        </w:rPr>
      </w:pPr>
      <w:r>
        <w:rPr>
          <w:rFonts w:ascii="Calibri" w:hAnsi="Calibri" w:cs="Calibri"/>
          <w:b/>
          <w:bCs/>
          <w:sz w:val="20"/>
          <w:szCs w:val="20"/>
        </w:rPr>
        <w:br w:type="page"/>
      </w:r>
    </w:p>
    <w:p w:rsidR="00810E49" w:rsidRPr="00FF285B" w:rsidRDefault="00810E49" w:rsidP="00FF285B">
      <w:pPr>
        <w:pStyle w:val="Legenda"/>
        <w:spacing w:after="0"/>
        <w:rPr>
          <w:rFonts w:ascii="Calibri" w:hAnsi="Calibri" w:cs="Calibri"/>
          <w:b w:val="0"/>
          <w:color w:val="auto"/>
          <w:sz w:val="20"/>
          <w:szCs w:val="20"/>
          <w:highlight w:val="yellow"/>
        </w:rPr>
      </w:pPr>
      <w:r w:rsidRPr="00FF285B">
        <w:rPr>
          <w:rFonts w:ascii="Calibri" w:hAnsi="Calibri" w:cs="Calibri"/>
          <w:b w:val="0"/>
          <w:color w:val="auto"/>
          <w:sz w:val="20"/>
          <w:szCs w:val="20"/>
        </w:rPr>
        <w:lastRenderedPageBreak/>
        <w:t xml:space="preserve">Wykres </w:t>
      </w:r>
      <w:r w:rsidR="00E07640" w:rsidRPr="00FF285B">
        <w:rPr>
          <w:rFonts w:ascii="Calibri" w:hAnsi="Calibri" w:cs="Calibri"/>
          <w:b w:val="0"/>
          <w:color w:val="auto"/>
          <w:sz w:val="20"/>
          <w:szCs w:val="20"/>
        </w:rPr>
        <w:fldChar w:fldCharType="begin"/>
      </w:r>
      <w:r w:rsidRPr="00FF285B">
        <w:rPr>
          <w:rFonts w:ascii="Calibri" w:hAnsi="Calibri" w:cs="Calibri"/>
          <w:b w:val="0"/>
          <w:color w:val="auto"/>
          <w:sz w:val="20"/>
          <w:szCs w:val="20"/>
        </w:rPr>
        <w:instrText xml:space="preserve"> SEQ Wykres \* ARABIC </w:instrText>
      </w:r>
      <w:r w:rsidR="00E07640" w:rsidRPr="00FF285B">
        <w:rPr>
          <w:rFonts w:ascii="Calibri" w:hAnsi="Calibri" w:cs="Calibri"/>
          <w:b w:val="0"/>
          <w:color w:val="auto"/>
          <w:sz w:val="20"/>
          <w:szCs w:val="20"/>
        </w:rPr>
        <w:fldChar w:fldCharType="separate"/>
      </w:r>
      <w:r w:rsidR="00D540D9">
        <w:rPr>
          <w:rFonts w:ascii="Calibri" w:hAnsi="Calibri" w:cs="Calibri"/>
          <w:b w:val="0"/>
          <w:noProof/>
          <w:color w:val="auto"/>
          <w:sz w:val="20"/>
          <w:szCs w:val="20"/>
        </w:rPr>
        <w:t>11</w:t>
      </w:r>
      <w:r w:rsidR="00E07640" w:rsidRPr="00FF285B">
        <w:rPr>
          <w:rFonts w:ascii="Calibri" w:hAnsi="Calibri" w:cs="Calibri"/>
          <w:b w:val="0"/>
          <w:color w:val="auto"/>
          <w:sz w:val="20"/>
          <w:szCs w:val="20"/>
        </w:rPr>
        <w:fldChar w:fldCharType="end"/>
      </w:r>
      <w:r w:rsidRPr="00FF285B">
        <w:rPr>
          <w:rFonts w:ascii="Calibri" w:hAnsi="Calibri" w:cs="Calibri"/>
          <w:b w:val="0"/>
          <w:color w:val="auto"/>
          <w:sz w:val="20"/>
          <w:szCs w:val="20"/>
        </w:rPr>
        <w:t>.</w:t>
      </w:r>
    </w:p>
    <w:p w:rsidR="00810E49" w:rsidRDefault="00810E49" w:rsidP="00FF285B">
      <w:pPr>
        <w:spacing w:after="0" w:line="240" w:lineRule="auto"/>
        <w:jc w:val="center"/>
        <w:rPr>
          <w:rFonts w:ascii="Calibri" w:hAnsi="Calibri" w:cs="Calibri"/>
        </w:rPr>
      </w:pPr>
      <w:r w:rsidRPr="00E05EBE">
        <w:rPr>
          <w:rFonts w:ascii="Calibri" w:hAnsi="Calibri" w:cs="Calibri"/>
          <w:noProof/>
        </w:rPr>
        <w:drawing>
          <wp:inline distT="0" distB="0" distL="0" distR="0">
            <wp:extent cx="2904903" cy="2434856"/>
            <wp:effectExtent l="0" t="0" r="0" b="0"/>
            <wp:docPr id="4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0E49" w:rsidRDefault="00810E49" w:rsidP="00810E49">
      <w:pPr>
        <w:tabs>
          <w:tab w:val="left" w:pos="1276"/>
        </w:tabs>
        <w:rPr>
          <w:rFonts w:ascii="Calibri" w:hAnsi="Calibri" w:cs="Calibri"/>
          <w:sz w:val="20"/>
          <w:szCs w:val="20"/>
        </w:rPr>
      </w:pPr>
      <w:r w:rsidRPr="0080695F">
        <w:rPr>
          <w:rFonts w:ascii="Calibri" w:hAnsi="Calibri" w:cs="Calibri"/>
          <w:sz w:val="20"/>
          <w:szCs w:val="20"/>
        </w:rPr>
        <w:t>Źródło: opracowanie własne na podstawie danych GUS.</w:t>
      </w:r>
    </w:p>
    <w:p w:rsidR="00810E49" w:rsidRDefault="00810E49" w:rsidP="008A0C4E">
      <w:pPr>
        <w:spacing w:after="0"/>
        <w:jc w:val="both"/>
        <w:rPr>
          <w:rFonts w:ascii="Calibri" w:hAnsi="Calibri" w:cs="Calibri"/>
        </w:rPr>
      </w:pPr>
      <w:r>
        <w:rPr>
          <w:rFonts w:ascii="Calibri" w:hAnsi="Calibri" w:cs="Calibri"/>
        </w:rPr>
        <w:t>Na koniec 2010</w:t>
      </w:r>
      <w:r w:rsidRPr="008C15F7">
        <w:rPr>
          <w:rFonts w:ascii="Calibri" w:hAnsi="Calibri" w:cs="Calibri"/>
        </w:rPr>
        <w:t xml:space="preserve"> r. osoby bezrobotne zarejestrowane w Urzędzie Pracy </w:t>
      </w:r>
      <w:r w:rsidRPr="00CC53CE">
        <w:rPr>
          <w:rFonts w:ascii="Calibri" w:hAnsi="Calibri" w:cs="Calibri"/>
        </w:rPr>
        <w:t xml:space="preserve">stanowiły </w:t>
      </w:r>
      <w:r>
        <w:rPr>
          <w:rFonts w:ascii="Calibri" w:hAnsi="Calibri" w:cs="Calibri"/>
        </w:rPr>
        <w:t>2,7</w:t>
      </w:r>
      <w:r w:rsidRPr="00CC53CE">
        <w:rPr>
          <w:rFonts w:ascii="Calibri" w:hAnsi="Calibri" w:cs="Calibri"/>
        </w:rPr>
        <w:t>% osób w wieku produkcyjnym</w:t>
      </w:r>
      <w:r>
        <w:rPr>
          <w:rFonts w:ascii="Calibri" w:hAnsi="Calibri" w:cs="Calibri"/>
        </w:rPr>
        <w:t>, czyli</w:t>
      </w:r>
      <w:r w:rsidRPr="008C15F7">
        <w:rPr>
          <w:rFonts w:ascii="Calibri" w:hAnsi="Calibri" w:cs="Calibri"/>
        </w:rPr>
        <w:t xml:space="preserve"> </w:t>
      </w:r>
      <w:r>
        <w:rPr>
          <w:rFonts w:ascii="Calibri" w:hAnsi="Calibri" w:cs="Calibri"/>
        </w:rPr>
        <w:t>zdecydowanie mniej niż w przypadku Polski (7,9</w:t>
      </w:r>
      <w:r w:rsidRPr="008C15F7">
        <w:rPr>
          <w:rFonts w:ascii="Calibri" w:hAnsi="Calibri" w:cs="Calibri"/>
        </w:rPr>
        <w:t>%) i województwa wielkopolskiego (6</w:t>
      </w:r>
      <w:r>
        <w:rPr>
          <w:rFonts w:ascii="Calibri" w:hAnsi="Calibri" w:cs="Calibri"/>
        </w:rPr>
        <w:t>,1</w:t>
      </w:r>
      <w:r w:rsidRPr="008C15F7">
        <w:rPr>
          <w:rFonts w:ascii="Calibri" w:hAnsi="Calibri" w:cs="Calibri"/>
        </w:rPr>
        <w:t xml:space="preserve">%). </w:t>
      </w:r>
      <w:r w:rsidRPr="00D43C03">
        <w:rPr>
          <w:rFonts w:ascii="Calibri" w:hAnsi="Calibri" w:cs="Calibri"/>
        </w:rPr>
        <w:t xml:space="preserve">Udział mężczyzn kształtował się na poziomie 2,5%, natomiast kobiet – 2,9%. Przeprowadzono również analizę wskaźnika dla </w:t>
      </w:r>
      <w:r w:rsidR="005F6984">
        <w:rPr>
          <w:rFonts w:ascii="Calibri" w:hAnsi="Calibri" w:cs="Calibri"/>
        </w:rPr>
        <w:t xml:space="preserve">wybranych </w:t>
      </w:r>
      <w:r w:rsidRPr="00D43C03">
        <w:rPr>
          <w:rFonts w:ascii="Calibri" w:hAnsi="Calibri" w:cs="Calibri"/>
        </w:rPr>
        <w:t>wielkopolskich gmin miejsk</w:t>
      </w:r>
      <w:r w:rsidR="005F6984">
        <w:rPr>
          <w:rFonts w:ascii="Calibri" w:hAnsi="Calibri" w:cs="Calibri"/>
        </w:rPr>
        <w:t xml:space="preserve">o-wiejskich </w:t>
      </w:r>
      <w:r w:rsidR="00315AE0">
        <w:rPr>
          <w:rFonts w:ascii="Calibri" w:hAnsi="Calibri" w:cs="Calibri"/>
        </w:rPr>
        <w:br/>
      </w:r>
      <w:r w:rsidR="005F6984">
        <w:rPr>
          <w:rFonts w:ascii="Calibri" w:hAnsi="Calibri" w:cs="Calibri"/>
        </w:rPr>
        <w:t>o porównywalnej wielkości</w:t>
      </w:r>
      <w:r w:rsidRPr="00D43C03">
        <w:rPr>
          <w:rFonts w:ascii="Calibri" w:hAnsi="Calibri" w:cs="Calibri"/>
        </w:rPr>
        <w:t xml:space="preserve"> oraz gmin aglomeracji poznańskiej, z której wynika, że gmina Pobiedziska znajduje się wśród gmin o najniższym udziale bezrobotnych wśród osób w wieku produkcyjnym.</w:t>
      </w:r>
    </w:p>
    <w:p w:rsidR="00810E49" w:rsidRPr="00FF285B" w:rsidRDefault="00810E49" w:rsidP="008A0C4E">
      <w:pPr>
        <w:pStyle w:val="Legenda"/>
        <w:spacing w:after="0"/>
        <w:rPr>
          <w:rFonts w:cstheme="minorHAnsi"/>
          <w:b w:val="0"/>
          <w:color w:val="auto"/>
          <w:sz w:val="20"/>
          <w:szCs w:val="20"/>
        </w:rPr>
      </w:pPr>
      <w:r w:rsidRPr="00FF285B">
        <w:rPr>
          <w:rFonts w:cstheme="minorHAnsi"/>
          <w:b w:val="0"/>
          <w:color w:val="auto"/>
          <w:sz w:val="20"/>
          <w:szCs w:val="20"/>
        </w:rPr>
        <w:t xml:space="preserve">Wykres </w:t>
      </w:r>
      <w:r w:rsidR="00E07640" w:rsidRPr="00FF285B">
        <w:rPr>
          <w:rFonts w:cstheme="minorHAnsi"/>
          <w:b w:val="0"/>
          <w:color w:val="auto"/>
          <w:sz w:val="20"/>
          <w:szCs w:val="20"/>
        </w:rPr>
        <w:fldChar w:fldCharType="begin"/>
      </w:r>
      <w:r w:rsidRPr="00FF285B">
        <w:rPr>
          <w:rFonts w:cstheme="minorHAnsi"/>
          <w:b w:val="0"/>
          <w:color w:val="auto"/>
          <w:sz w:val="20"/>
          <w:szCs w:val="20"/>
        </w:rPr>
        <w:instrText xml:space="preserve"> SEQ Wykres \* ARABIC </w:instrText>
      </w:r>
      <w:r w:rsidR="00E07640" w:rsidRPr="00FF285B">
        <w:rPr>
          <w:rFonts w:cstheme="minorHAnsi"/>
          <w:b w:val="0"/>
          <w:color w:val="auto"/>
          <w:sz w:val="20"/>
          <w:szCs w:val="20"/>
        </w:rPr>
        <w:fldChar w:fldCharType="separate"/>
      </w:r>
      <w:r w:rsidR="00D540D9">
        <w:rPr>
          <w:rFonts w:cstheme="minorHAnsi"/>
          <w:b w:val="0"/>
          <w:noProof/>
          <w:color w:val="auto"/>
          <w:sz w:val="20"/>
          <w:szCs w:val="20"/>
        </w:rPr>
        <w:t>12</w:t>
      </w:r>
      <w:r w:rsidR="00E07640" w:rsidRPr="00FF285B">
        <w:rPr>
          <w:rFonts w:cstheme="minorHAnsi"/>
          <w:b w:val="0"/>
          <w:color w:val="auto"/>
          <w:sz w:val="20"/>
          <w:szCs w:val="20"/>
        </w:rPr>
        <w:fldChar w:fldCharType="end"/>
      </w:r>
      <w:r w:rsidRPr="00FF285B">
        <w:rPr>
          <w:rFonts w:cstheme="minorHAnsi"/>
          <w:b w:val="0"/>
          <w:color w:val="auto"/>
          <w:sz w:val="20"/>
          <w:szCs w:val="20"/>
        </w:rPr>
        <w:t>.</w:t>
      </w:r>
    </w:p>
    <w:p w:rsidR="00810E49" w:rsidRDefault="00810E49" w:rsidP="00FF285B">
      <w:pPr>
        <w:spacing w:after="0" w:line="240" w:lineRule="auto"/>
        <w:jc w:val="center"/>
      </w:pPr>
      <w:r w:rsidRPr="00C6486F">
        <w:rPr>
          <w:noProof/>
        </w:rPr>
        <w:drawing>
          <wp:inline distT="0" distB="0" distL="0" distR="0">
            <wp:extent cx="4051004" cy="2948968"/>
            <wp:effectExtent l="0" t="0" r="0" b="0"/>
            <wp:docPr id="44" name="Wykres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10E49" w:rsidRDefault="00810E49" w:rsidP="00810E49">
      <w:pPr>
        <w:tabs>
          <w:tab w:val="left" w:pos="1276"/>
        </w:tabs>
        <w:rPr>
          <w:rFonts w:ascii="Calibri" w:hAnsi="Calibri" w:cs="Calibri"/>
          <w:sz w:val="20"/>
          <w:szCs w:val="20"/>
        </w:rPr>
      </w:pPr>
      <w:r w:rsidRPr="0080695F">
        <w:rPr>
          <w:rFonts w:ascii="Calibri" w:hAnsi="Calibri" w:cs="Calibri"/>
          <w:sz w:val="20"/>
          <w:szCs w:val="20"/>
        </w:rPr>
        <w:t>Źródło: opracowanie własne na podstawie danych GUS.</w:t>
      </w:r>
    </w:p>
    <w:p w:rsidR="00FF285B" w:rsidRDefault="00FF285B">
      <w:pPr>
        <w:rPr>
          <w:rFonts w:cstheme="minorHAnsi"/>
          <w:bCs/>
          <w:sz w:val="20"/>
          <w:szCs w:val="20"/>
        </w:rPr>
      </w:pPr>
      <w:r>
        <w:rPr>
          <w:rFonts w:cstheme="minorHAnsi"/>
          <w:b/>
          <w:sz w:val="20"/>
          <w:szCs w:val="20"/>
        </w:rPr>
        <w:br w:type="page"/>
      </w:r>
    </w:p>
    <w:p w:rsidR="00810E49" w:rsidRPr="00FF285B" w:rsidRDefault="00810E49" w:rsidP="00FF285B">
      <w:pPr>
        <w:pStyle w:val="Legenda"/>
        <w:spacing w:after="0"/>
        <w:rPr>
          <w:rFonts w:cstheme="minorHAnsi"/>
          <w:b w:val="0"/>
          <w:color w:val="auto"/>
          <w:sz w:val="20"/>
          <w:szCs w:val="20"/>
        </w:rPr>
      </w:pPr>
      <w:r w:rsidRPr="00FF285B">
        <w:rPr>
          <w:rFonts w:cstheme="minorHAnsi"/>
          <w:b w:val="0"/>
          <w:color w:val="auto"/>
          <w:sz w:val="20"/>
          <w:szCs w:val="20"/>
        </w:rPr>
        <w:lastRenderedPageBreak/>
        <w:t xml:space="preserve">Wykres </w:t>
      </w:r>
      <w:r w:rsidR="00E07640" w:rsidRPr="00FF285B">
        <w:rPr>
          <w:rFonts w:cstheme="minorHAnsi"/>
          <w:b w:val="0"/>
          <w:color w:val="auto"/>
          <w:sz w:val="20"/>
          <w:szCs w:val="20"/>
        </w:rPr>
        <w:fldChar w:fldCharType="begin"/>
      </w:r>
      <w:r w:rsidRPr="00FF285B">
        <w:rPr>
          <w:rFonts w:cstheme="minorHAnsi"/>
          <w:b w:val="0"/>
          <w:color w:val="auto"/>
          <w:sz w:val="20"/>
          <w:szCs w:val="20"/>
        </w:rPr>
        <w:instrText xml:space="preserve"> SEQ Wykres \* ARABIC </w:instrText>
      </w:r>
      <w:r w:rsidR="00E07640" w:rsidRPr="00FF285B">
        <w:rPr>
          <w:rFonts w:cstheme="minorHAnsi"/>
          <w:b w:val="0"/>
          <w:color w:val="auto"/>
          <w:sz w:val="20"/>
          <w:szCs w:val="20"/>
        </w:rPr>
        <w:fldChar w:fldCharType="separate"/>
      </w:r>
      <w:r w:rsidR="00D540D9">
        <w:rPr>
          <w:rFonts w:cstheme="minorHAnsi"/>
          <w:b w:val="0"/>
          <w:noProof/>
          <w:color w:val="auto"/>
          <w:sz w:val="20"/>
          <w:szCs w:val="20"/>
        </w:rPr>
        <w:t>13</w:t>
      </w:r>
      <w:r w:rsidR="00E07640" w:rsidRPr="00FF285B">
        <w:rPr>
          <w:rFonts w:cstheme="minorHAnsi"/>
          <w:b w:val="0"/>
          <w:color w:val="auto"/>
          <w:sz w:val="20"/>
          <w:szCs w:val="20"/>
        </w:rPr>
        <w:fldChar w:fldCharType="end"/>
      </w:r>
      <w:r w:rsidRPr="00FF285B">
        <w:rPr>
          <w:rFonts w:cstheme="minorHAnsi"/>
          <w:b w:val="0"/>
          <w:color w:val="auto"/>
          <w:sz w:val="20"/>
          <w:szCs w:val="20"/>
        </w:rPr>
        <w:t>.</w:t>
      </w:r>
    </w:p>
    <w:p w:rsidR="00810E49" w:rsidRDefault="00810E49" w:rsidP="00FF285B">
      <w:pPr>
        <w:spacing w:after="0" w:line="240" w:lineRule="auto"/>
        <w:jc w:val="center"/>
      </w:pPr>
      <w:r w:rsidRPr="00C6486F">
        <w:rPr>
          <w:noProof/>
        </w:rPr>
        <w:drawing>
          <wp:inline distT="0" distB="0" distL="0" distR="0">
            <wp:extent cx="3625702" cy="4774019"/>
            <wp:effectExtent l="0" t="0" r="0" b="0"/>
            <wp:docPr id="4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10E49" w:rsidRDefault="00810E49" w:rsidP="00810E49">
      <w:pPr>
        <w:tabs>
          <w:tab w:val="left" w:pos="1276"/>
        </w:tabs>
        <w:rPr>
          <w:rFonts w:ascii="Calibri" w:hAnsi="Calibri" w:cs="Calibri"/>
          <w:sz w:val="20"/>
          <w:szCs w:val="20"/>
        </w:rPr>
      </w:pPr>
      <w:r w:rsidRPr="0080695F">
        <w:rPr>
          <w:rFonts w:ascii="Calibri" w:hAnsi="Calibri" w:cs="Calibri"/>
          <w:sz w:val="20"/>
          <w:szCs w:val="20"/>
        </w:rPr>
        <w:t>Źródło: opracowanie własne na podstawie danych GUS.</w:t>
      </w:r>
    </w:p>
    <w:p w:rsidR="00810E49" w:rsidRDefault="00E07640" w:rsidP="00810E49">
      <w:pPr>
        <w:tabs>
          <w:tab w:val="left" w:pos="1276"/>
        </w:tabs>
        <w:rPr>
          <w:rFonts w:ascii="Tahoma" w:hAnsi="Tahoma" w:cs="Tahoma"/>
          <w:b/>
          <w:color w:val="002867"/>
          <w:sz w:val="20"/>
          <w:szCs w:val="20"/>
        </w:rPr>
      </w:pPr>
      <w:r>
        <w:rPr>
          <w:rFonts w:ascii="Tahoma" w:hAnsi="Tahoma" w:cs="Tahoma"/>
          <w:b/>
          <w:color w:val="002867"/>
          <w:sz w:val="20"/>
          <w:szCs w:val="20"/>
        </w:rPr>
      </w:r>
      <w:r w:rsidR="00535843">
        <w:rPr>
          <w:rFonts w:ascii="Tahoma" w:hAnsi="Tahoma" w:cs="Tahoma"/>
          <w:b/>
          <w:color w:val="002867"/>
          <w:sz w:val="20"/>
          <w:szCs w:val="2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7" type="#_x0000_t185" style="width:167.35pt;height:454.15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47;mso-fit-shape-to-text:t" inset="18pt,18pt,,18pt">
              <w:txbxContent>
                <w:p w:rsidR="00291CA0" w:rsidRDefault="00291CA0" w:rsidP="00FF285B">
                  <w:pPr>
                    <w:autoSpaceDE w:val="0"/>
                    <w:autoSpaceDN w:val="0"/>
                    <w:adjustRightInd w:val="0"/>
                    <w:spacing w:after="120"/>
                    <w:jc w:val="both"/>
                    <w:rPr>
                      <w:rFonts w:ascii="Calibri" w:hAnsi="Calibri" w:cs="MyriadPro-Regular"/>
                      <w:b/>
                      <w:i/>
                      <w:color w:val="808080" w:themeColor="background1" w:themeShade="80"/>
                    </w:rPr>
                  </w:pPr>
                  <w:r w:rsidRPr="0024461D">
                    <w:rPr>
                      <w:rFonts w:ascii="Calibri" w:hAnsi="Calibri" w:cs="Calibri"/>
                      <w:b/>
                      <w:i/>
                      <w:color w:val="943634" w:themeColor="accent2" w:themeShade="BF"/>
                    </w:rPr>
                    <w:t>Konkluzje strategiczne</w:t>
                  </w:r>
                </w:p>
                <w:p w:rsidR="00291CA0" w:rsidRPr="00C247BB" w:rsidRDefault="00291CA0" w:rsidP="004A7B05">
                  <w:pPr>
                    <w:autoSpaceDE w:val="0"/>
                    <w:autoSpaceDN w:val="0"/>
                    <w:adjustRightInd w:val="0"/>
                    <w:spacing w:before="120" w:after="120"/>
                    <w:jc w:val="both"/>
                    <w:rPr>
                      <w:rFonts w:ascii="Calibri" w:hAnsi="Calibri" w:cs="MyriadPro-Regular"/>
                      <w:b/>
                      <w:i/>
                      <w:color w:val="808080" w:themeColor="background1" w:themeShade="80"/>
                    </w:rPr>
                  </w:pPr>
                  <w:r>
                    <w:rPr>
                      <w:rFonts w:ascii="Calibri" w:hAnsi="Calibri" w:cs="MyriadPro-Regular"/>
                      <w:b/>
                      <w:i/>
                      <w:color w:val="808080" w:themeColor="background1" w:themeShade="80"/>
                    </w:rPr>
                    <w:t xml:space="preserve">Niski poziom bezrobocia oraz niski udział osób bezrobotnych wśród osób w wieku produkcyjnym </w:t>
                  </w:r>
                  <w:r w:rsidRPr="00C247BB">
                    <w:rPr>
                      <w:rFonts w:ascii="Calibri" w:hAnsi="Calibri" w:cs="MyriadPro-Regular"/>
                      <w:b/>
                      <w:i/>
                      <w:color w:val="808080" w:themeColor="background1" w:themeShade="80"/>
                    </w:rPr>
                    <w:t xml:space="preserve">wskazuje na </w:t>
                  </w:r>
                  <w:r>
                    <w:rPr>
                      <w:rFonts w:ascii="Calibri" w:hAnsi="Calibri" w:cs="MyriadPro-Regular"/>
                      <w:b/>
                      <w:i/>
                      <w:color w:val="808080" w:themeColor="background1" w:themeShade="80"/>
                    </w:rPr>
                    <w:t>stosunkowo dobrą sytuację na lokalnym rynku pracy</w:t>
                  </w:r>
                  <w:r w:rsidRPr="00C247BB">
                    <w:rPr>
                      <w:rFonts w:ascii="Calibri" w:hAnsi="Calibri" w:cs="MyriadPro-Regular"/>
                      <w:b/>
                      <w:i/>
                      <w:color w:val="808080" w:themeColor="background1" w:themeShade="80"/>
                    </w:rPr>
                    <w:t>.</w:t>
                  </w:r>
                </w:p>
                <w:p w:rsidR="00291CA0" w:rsidRPr="00C247BB" w:rsidRDefault="00291CA0" w:rsidP="004A7B05">
                  <w:pPr>
                    <w:autoSpaceDE w:val="0"/>
                    <w:autoSpaceDN w:val="0"/>
                    <w:adjustRightInd w:val="0"/>
                    <w:spacing w:before="120" w:after="120"/>
                    <w:jc w:val="both"/>
                    <w:rPr>
                      <w:rFonts w:ascii="Calibri" w:hAnsi="Calibri" w:cs="MyriadPro-Regular"/>
                      <w:b/>
                      <w:i/>
                      <w:color w:val="808080" w:themeColor="background1" w:themeShade="80"/>
                    </w:rPr>
                  </w:pPr>
                  <w:r w:rsidRPr="00C247BB">
                    <w:rPr>
                      <w:rFonts w:ascii="Calibri" w:hAnsi="Calibri" w:cs="MyriadPro-Regular"/>
                      <w:b/>
                      <w:i/>
                      <w:color w:val="808080" w:themeColor="background1" w:themeShade="80"/>
                    </w:rPr>
                    <w:t xml:space="preserve">Szczególnie istotne jest poszukiwanie rozwiązań stymulujących poprawę sytuacji </w:t>
                  </w:r>
                  <w:r>
                    <w:rPr>
                      <w:rFonts w:ascii="Calibri" w:hAnsi="Calibri" w:cs="MyriadPro-Regular"/>
                      <w:b/>
                      <w:i/>
                      <w:color w:val="808080" w:themeColor="background1" w:themeShade="80"/>
                    </w:rPr>
                    <w:t>osób młodych na rynku prac.</w:t>
                  </w:r>
                </w:p>
                <w:p w:rsidR="00291CA0" w:rsidRDefault="00291CA0" w:rsidP="004A7B05">
                  <w:pPr>
                    <w:spacing w:before="120" w:after="120"/>
                    <w:jc w:val="both"/>
                    <w:rPr>
                      <w:i/>
                      <w:iCs/>
                      <w:color w:val="938953" w:themeColor="background2" w:themeShade="7F"/>
                    </w:rPr>
                  </w:pPr>
                  <w:r w:rsidRPr="00C247BB">
                    <w:rPr>
                      <w:rFonts w:ascii="Calibri" w:hAnsi="Calibri" w:cs="MyriadPro-Regular"/>
                      <w:b/>
                      <w:i/>
                      <w:color w:val="808080" w:themeColor="background1" w:themeShade="80"/>
                    </w:rPr>
                    <w:t xml:space="preserve">Z uwagi na utrzymujący się wysoki </w:t>
                  </w:r>
                  <w:r>
                    <w:rPr>
                      <w:rFonts w:ascii="Calibri" w:hAnsi="Calibri" w:cs="MyriadPro-Regular"/>
                      <w:b/>
                      <w:i/>
                      <w:color w:val="808080" w:themeColor="background1" w:themeShade="80"/>
                    </w:rPr>
                    <w:t xml:space="preserve">udział osób </w:t>
                  </w:r>
                  <w:r w:rsidRPr="00C247BB">
                    <w:rPr>
                      <w:rFonts w:ascii="Calibri" w:hAnsi="Calibri" w:cs="MyriadPro-Regular"/>
                      <w:b/>
                      <w:i/>
                      <w:color w:val="808080" w:themeColor="background1" w:themeShade="80"/>
                    </w:rPr>
                    <w:t>z ni</w:t>
                  </w:r>
                  <w:r>
                    <w:rPr>
                      <w:rFonts w:ascii="Calibri" w:hAnsi="Calibri" w:cs="MyriadPro-Regular"/>
                      <w:b/>
                      <w:i/>
                      <w:color w:val="808080" w:themeColor="background1" w:themeShade="80"/>
                    </w:rPr>
                    <w:t>ższy</w:t>
                  </w:r>
                  <w:r w:rsidRPr="00C247BB">
                    <w:rPr>
                      <w:rFonts w:ascii="Calibri" w:hAnsi="Calibri" w:cs="MyriadPro-Regular"/>
                      <w:b/>
                      <w:i/>
                      <w:color w:val="808080" w:themeColor="background1" w:themeShade="80"/>
                    </w:rPr>
                    <w:t>m wykształceniem</w:t>
                  </w:r>
                  <w:r>
                    <w:rPr>
                      <w:rFonts w:ascii="Calibri" w:hAnsi="Calibri" w:cs="MyriadPro-Regular"/>
                      <w:b/>
                      <w:i/>
                      <w:color w:val="808080" w:themeColor="background1" w:themeShade="80"/>
                    </w:rPr>
                    <w:t xml:space="preserve"> wśród bezrobotnych</w:t>
                  </w:r>
                  <w:r w:rsidRPr="00C247BB">
                    <w:rPr>
                      <w:rFonts w:ascii="Calibri" w:hAnsi="Calibri" w:cs="MyriadPro-Regular"/>
                      <w:b/>
                      <w:i/>
                      <w:color w:val="808080" w:themeColor="background1" w:themeShade="80"/>
                    </w:rPr>
                    <w:t>, należy realizować kursy i szkolenia dokształcające dla tych osób.</w:t>
                  </w:r>
                </w:p>
              </w:txbxContent>
            </v:textbox>
            <w10:wrap type="none" anchorx="margin" anchory="margin"/>
            <w10:anchorlock/>
          </v:shape>
        </w:pict>
      </w:r>
    </w:p>
    <w:p w:rsidR="00810E49" w:rsidRPr="00810E49" w:rsidRDefault="00810E49" w:rsidP="003D08EB">
      <w:pPr>
        <w:rPr>
          <w:b/>
          <w:color w:val="17365D" w:themeColor="text2" w:themeShade="BF"/>
        </w:rPr>
      </w:pPr>
    </w:p>
    <w:p w:rsidR="009A7ABC" w:rsidRPr="004A7B05" w:rsidRDefault="009A7ABC" w:rsidP="00E84FFC">
      <w:pPr>
        <w:pStyle w:val="Nagwek1"/>
        <w:numPr>
          <w:ilvl w:val="0"/>
          <w:numId w:val="1"/>
        </w:numPr>
        <w:rPr>
          <w:rFonts w:asciiTheme="minorHAnsi" w:hAnsiTheme="minorHAnsi" w:cs="Tahoma"/>
          <w:color w:val="943634" w:themeColor="accent2" w:themeShade="BF"/>
          <w:sz w:val="28"/>
        </w:rPr>
      </w:pPr>
      <w:bookmarkStart w:id="10" w:name="_Toc306028438"/>
      <w:bookmarkStart w:id="11" w:name="_Toc321135328"/>
      <w:r w:rsidRPr="004A7B05">
        <w:rPr>
          <w:rFonts w:asciiTheme="minorHAnsi" w:hAnsiTheme="minorHAnsi" w:cs="Tahoma"/>
          <w:color w:val="943634" w:themeColor="accent2" w:themeShade="BF"/>
          <w:sz w:val="28"/>
        </w:rPr>
        <w:lastRenderedPageBreak/>
        <w:t>Ogólna charakterystyka gminy</w:t>
      </w:r>
      <w:bookmarkEnd w:id="10"/>
      <w:bookmarkEnd w:id="11"/>
    </w:p>
    <w:p w:rsidR="009A7ABC" w:rsidRPr="004A7B05" w:rsidRDefault="00927DA9" w:rsidP="00927DA9">
      <w:pPr>
        <w:pStyle w:val="Nagwek2"/>
        <w:ind w:left="360"/>
        <w:rPr>
          <w:rFonts w:asciiTheme="minorHAnsi" w:hAnsiTheme="minorHAnsi"/>
          <w:color w:val="943634" w:themeColor="accent2" w:themeShade="BF"/>
        </w:rPr>
      </w:pPr>
      <w:bookmarkStart w:id="12" w:name="_Toc321135329"/>
      <w:r w:rsidRPr="004A7B05">
        <w:rPr>
          <w:rFonts w:asciiTheme="minorHAnsi" w:hAnsiTheme="minorHAnsi"/>
          <w:color w:val="943634" w:themeColor="accent2" w:themeShade="BF"/>
        </w:rPr>
        <w:t xml:space="preserve">5.1 </w:t>
      </w:r>
      <w:r w:rsidR="009A7ABC" w:rsidRPr="004A7B05">
        <w:rPr>
          <w:rFonts w:asciiTheme="minorHAnsi" w:hAnsiTheme="minorHAnsi"/>
          <w:color w:val="943634" w:themeColor="accent2" w:themeShade="BF"/>
        </w:rPr>
        <w:t>Oświata i informatyzacja</w:t>
      </w:r>
      <w:bookmarkEnd w:id="12"/>
    </w:p>
    <w:p w:rsidR="005A18F7" w:rsidRPr="00D64440" w:rsidRDefault="005A18F7" w:rsidP="004A7B05">
      <w:pPr>
        <w:spacing w:before="60" w:after="60"/>
        <w:jc w:val="both"/>
      </w:pPr>
      <w:r w:rsidRPr="00885434">
        <w:t>Na terenie miasta funk</w:t>
      </w:r>
      <w:r w:rsidR="00AA41D2" w:rsidRPr="00885434">
        <w:t>cjon</w:t>
      </w:r>
      <w:r w:rsidR="006404D3">
        <w:t xml:space="preserve">uje przedszkole publiczne </w:t>
      </w:r>
      <w:r w:rsidR="006404D3" w:rsidRPr="00D64440">
        <w:t>trzynasto</w:t>
      </w:r>
      <w:r w:rsidR="00AA41D2" w:rsidRPr="00D64440">
        <w:t>-</w:t>
      </w:r>
      <w:r w:rsidR="006404D3" w:rsidRPr="00D64440">
        <w:t>oddziałowe</w:t>
      </w:r>
      <w:r w:rsidR="001B7B1E" w:rsidRPr="00D64440">
        <w:t xml:space="preserve"> „Wesołe</w:t>
      </w:r>
      <w:r w:rsidR="001B7B1E" w:rsidRPr="00885434">
        <w:t xml:space="preserve"> Skrzaty”</w:t>
      </w:r>
      <w:r w:rsidRPr="00885434">
        <w:t xml:space="preserve">, do którego </w:t>
      </w:r>
      <w:r w:rsidR="00F9486B">
        <w:t>w roku szkolnym 2010/2011 uczęszcza</w:t>
      </w:r>
      <w:r w:rsidRPr="00885434">
        <w:t xml:space="preserve"> </w:t>
      </w:r>
      <w:r w:rsidR="00AA41D2" w:rsidRPr="00885434">
        <w:t>około</w:t>
      </w:r>
      <w:r w:rsidRPr="00885434">
        <w:t xml:space="preserve"> 318 dzieci</w:t>
      </w:r>
      <w:r w:rsidR="004A7B05">
        <w:t xml:space="preserve"> oraz prywatne </w:t>
      </w:r>
      <w:r w:rsidRPr="00885434">
        <w:t xml:space="preserve">przedszkole </w:t>
      </w:r>
      <w:r w:rsidR="001B7B1E" w:rsidRPr="00885434">
        <w:t>„Nasze Przedszkole”</w:t>
      </w:r>
      <w:r w:rsidRPr="00885434">
        <w:t xml:space="preserve">. </w:t>
      </w:r>
      <w:r w:rsidR="00AA41D2" w:rsidRPr="00885434">
        <w:t>Na</w:t>
      </w:r>
      <w:r w:rsidRPr="00885434">
        <w:t xml:space="preserve"> terenie gminy </w:t>
      </w:r>
      <w:r w:rsidR="00AA41D2" w:rsidRPr="00885434">
        <w:t xml:space="preserve">funkcjonują </w:t>
      </w:r>
      <w:r w:rsidR="004A7B05">
        <w:t>również</w:t>
      </w:r>
      <w:r w:rsidR="00AA41D2" w:rsidRPr="00885434">
        <w:t>:</w:t>
      </w:r>
      <w:r w:rsidRPr="00885434">
        <w:t xml:space="preserve"> przedszkole </w:t>
      </w:r>
      <w:r w:rsidR="00F9486B">
        <w:t>trzy</w:t>
      </w:r>
      <w:r w:rsidR="00AA41D2" w:rsidRPr="00885434">
        <w:t>-</w:t>
      </w:r>
      <w:r w:rsidRPr="00885434">
        <w:t xml:space="preserve">oddziałowe w </w:t>
      </w:r>
      <w:r w:rsidR="00AA41D2" w:rsidRPr="00885434">
        <w:t xml:space="preserve">Biskupicach </w:t>
      </w:r>
      <w:r w:rsidR="00315AE0">
        <w:br/>
      </w:r>
      <w:r w:rsidR="00AA41D2" w:rsidRPr="00885434">
        <w:t>w zespole szkolno-</w:t>
      </w:r>
      <w:r w:rsidRPr="00885434">
        <w:t>przedszkolnym (</w:t>
      </w:r>
      <w:r w:rsidR="00F9486B">
        <w:t>z miejscami dla 75 dzieci</w:t>
      </w:r>
      <w:r w:rsidRPr="00885434">
        <w:t xml:space="preserve">), </w:t>
      </w:r>
      <w:r w:rsidR="006404D3">
        <w:t>punkt przedszkolny</w:t>
      </w:r>
      <w:r w:rsidR="001B7B1E" w:rsidRPr="00885434">
        <w:t xml:space="preserve"> „Bajeczka” </w:t>
      </w:r>
      <w:r w:rsidR="00315AE0">
        <w:br/>
      </w:r>
      <w:r w:rsidRPr="00885434">
        <w:t xml:space="preserve">w </w:t>
      </w:r>
      <w:r w:rsidR="00AA41D2" w:rsidRPr="00885434">
        <w:t>Pomarzanowicach przy szkole podstawowej</w:t>
      </w:r>
      <w:r w:rsidRPr="00885434">
        <w:t xml:space="preserve"> oraz </w:t>
      </w:r>
      <w:r w:rsidR="00AA41D2" w:rsidRPr="00885434">
        <w:t>niepubliczne przedszkole</w:t>
      </w:r>
      <w:r w:rsidRPr="00885434">
        <w:t xml:space="preserve"> </w:t>
      </w:r>
      <w:r w:rsidR="001B7B1E" w:rsidRPr="00885434">
        <w:t xml:space="preserve">„Junior” </w:t>
      </w:r>
      <w:r w:rsidR="006404D3">
        <w:t>w Jerzyk</w:t>
      </w:r>
      <w:r w:rsidR="006404D3" w:rsidRPr="00D64440">
        <w:t xml:space="preserve">owie. W </w:t>
      </w:r>
      <w:r w:rsidRPr="00D64440">
        <w:t>miejscowościach</w:t>
      </w:r>
      <w:r w:rsidR="006404D3" w:rsidRPr="00D64440">
        <w:t xml:space="preserve"> Jerzykowo, Węglewo, Wronczyn, Pobiedziska-Letnisko znajdują się </w:t>
      </w:r>
      <w:r w:rsidR="00D64440">
        <w:t xml:space="preserve">oddziały przedszkolne </w:t>
      </w:r>
      <w:r w:rsidR="008E0BAA" w:rsidRPr="00D64440">
        <w:t>dla dzieci 5-6 letnich (przy szkołach podstawowych)</w:t>
      </w:r>
      <w:r w:rsidRPr="00D64440">
        <w:t>.</w:t>
      </w:r>
    </w:p>
    <w:p w:rsidR="00196283" w:rsidRPr="00885434" w:rsidRDefault="00196283" w:rsidP="004A7B05">
      <w:pPr>
        <w:spacing w:after="0"/>
        <w:jc w:val="both"/>
      </w:pPr>
      <w:r w:rsidRPr="00885434">
        <w:t xml:space="preserve">W mieście i gminie działają </w:t>
      </w:r>
      <w:r w:rsidR="008E0BAA">
        <w:t xml:space="preserve">poniżej wymienione </w:t>
      </w:r>
      <w:r w:rsidRPr="00885434">
        <w:t>instytucje oświatowe</w:t>
      </w:r>
      <w:r w:rsidR="00235A3F" w:rsidRPr="00885434">
        <w:t xml:space="preserve"> </w:t>
      </w:r>
      <w:r w:rsidR="008E0BAA">
        <w:t xml:space="preserve">(dane na rok szkolny </w:t>
      </w:r>
      <w:r w:rsidR="00235A3F" w:rsidRPr="00885434">
        <w:t>2010/2011)</w:t>
      </w:r>
      <w:r w:rsidRPr="00885434">
        <w:t>:</w:t>
      </w:r>
    </w:p>
    <w:p w:rsidR="00196283" w:rsidRPr="00885434" w:rsidRDefault="00196283" w:rsidP="00E84FFC">
      <w:pPr>
        <w:pStyle w:val="Akapitzlist"/>
        <w:numPr>
          <w:ilvl w:val="0"/>
          <w:numId w:val="4"/>
        </w:numPr>
        <w:spacing w:line="276" w:lineRule="auto"/>
        <w:jc w:val="both"/>
        <w:rPr>
          <w:rFonts w:asciiTheme="minorHAnsi" w:eastAsia="ArialMT" w:hAnsiTheme="minorHAnsi"/>
          <w:sz w:val="22"/>
        </w:rPr>
      </w:pPr>
      <w:r w:rsidRPr="00885434">
        <w:rPr>
          <w:rFonts w:asciiTheme="minorHAnsi" w:eastAsia="ArialMT" w:hAnsiTheme="minorHAnsi"/>
          <w:sz w:val="22"/>
        </w:rPr>
        <w:t>Zespół Szkół</w:t>
      </w:r>
      <w:r w:rsidR="00235A3F" w:rsidRPr="00885434">
        <w:rPr>
          <w:rFonts w:asciiTheme="minorHAnsi" w:eastAsia="ArialMT" w:hAnsiTheme="minorHAnsi"/>
          <w:sz w:val="22"/>
        </w:rPr>
        <w:t xml:space="preserve"> w Pobiedziskach</w:t>
      </w:r>
      <w:r w:rsidRPr="00885434">
        <w:rPr>
          <w:rFonts w:asciiTheme="minorHAnsi" w:eastAsia="ArialMT" w:hAnsiTheme="minorHAnsi"/>
          <w:sz w:val="22"/>
        </w:rPr>
        <w:t xml:space="preserve"> </w:t>
      </w:r>
      <w:r w:rsidR="00235A3F" w:rsidRPr="00885434">
        <w:rPr>
          <w:rFonts w:asciiTheme="minorHAnsi" w:eastAsia="ArialMT" w:hAnsiTheme="minorHAnsi"/>
          <w:sz w:val="22"/>
        </w:rPr>
        <w:t>(</w:t>
      </w:r>
      <w:r w:rsidRPr="00885434">
        <w:rPr>
          <w:rFonts w:asciiTheme="minorHAnsi" w:eastAsia="ArialMT" w:hAnsiTheme="minorHAnsi"/>
          <w:sz w:val="22"/>
        </w:rPr>
        <w:t>Szkoła Podstawowa</w:t>
      </w:r>
      <w:r w:rsidR="00235A3F" w:rsidRPr="00885434">
        <w:rPr>
          <w:rFonts w:asciiTheme="minorHAnsi" w:eastAsia="ArialMT" w:hAnsiTheme="minorHAnsi"/>
          <w:sz w:val="22"/>
        </w:rPr>
        <w:t xml:space="preserve"> 574 uczniów</w:t>
      </w:r>
      <w:r w:rsidRPr="00885434">
        <w:rPr>
          <w:rFonts w:asciiTheme="minorHAnsi" w:eastAsia="ArialMT" w:hAnsiTheme="minorHAnsi"/>
          <w:sz w:val="22"/>
        </w:rPr>
        <w:t xml:space="preserve"> i Gimnazjum</w:t>
      </w:r>
      <w:r w:rsidR="00235A3F" w:rsidRPr="00885434">
        <w:rPr>
          <w:rFonts w:asciiTheme="minorHAnsi" w:eastAsia="ArialMT" w:hAnsiTheme="minorHAnsi"/>
          <w:sz w:val="22"/>
        </w:rPr>
        <w:t xml:space="preserve"> 352 uczniów)</w:t>
      </w:r>
      <w:r w:rsidRPr="00885434">
        <w:rPr>
          <w:rFonts w:asciiTheme="minorHAnsi" w:eastAsia="ArialMT" w:hAnsiTheme="minorHAnsi"/>
          <w:sz w:val="22"/>
        </w:rPr>
        <w:t>,</w:t>
      </w:r>
    </w:p>
    <w:p w:rsidR="00196283" w:rsidRPr="00885434" w:rsidRDefault="00196283" w:rsidP="00E84FFC">
      <w:pPr>
        <w:pStyle w:val="Akapitzlist"/>
        <w:numPr>
          <w:ilvl w:val="0"/>
          <w:numId w:val="4"/>
        </w:numPr>
        <w:spacing w:line="276" w:lineRule="auto"/>
        <w:jc w:val="both"/>
        <w:rPr>
          <w:rFonts w:asciiTheme="minorHAnsi" w:eastAsia="ArialMT" w:hAnsiTheme="minorHAnsi"/>
          <w:sz w:val="22"/>
        </w:rPr>
      </w:pPr>
      <w:r w:rsidRPr="00885434">
        <w:rPr>
          <w:rFonts w:asciiTheme="minorHAnsi" w:eastAsia="ArialMT" w:hAnsiTheme="minorHAnsi"/>
          <w:sz w:val="22"/>
        </w:rPr>
        <w:t>Zespół Szkoła Podstawowa i Przedszkole w Biskupicach</w:t>
      </w:r>
      <w:r w:rsidR="00235A3F" w:rsidRPr="00885434">
        <w:rPr>
          <w:rFonts w:asciiTheme="minorHAnsi" w:eastAsia="ArialMT" w:hAnsiTheme="minorHAnsi"/>
          <w:sz w:val="22"/>
        </w:rPr>
        <w:t xml:space="preserve"> (szkoła podstawowa klasy I – VI 149 uczniów)</w:t>
      </w:r>
      <w:r w:rsidRPr="00885434">
        <w:rPr>
          <w:rFonts w:asciiTheme="minorHAnsi" w:eastAsia="ArialMT" w:hAnsiTheme="minorHAnsi"/>
          <w:sz w:val="22"/>
        </w:rPr>
        <w:t>,</w:t>
      </w:r>
    </w:p>
    <w:p w:rsidR="00196283" w:rsidRPr="00885434" w:rsidRDefault="00196283" w:rsidP="00E84FFC">
      <w:pPr>
        <w:pStyle w:val="Akapitzlist"/>
        <w:numPr>
          <w:ilvl w:val="0"/>
          <w:numId w:val="4"/>
        </w:numPr>
        <w:spacing w:line="276" w:lineRule="auto"/>
        <w:jc w:val="both"/>
        <w:rPr>
          <w:rFonts w:asciiTheme="minorHAnsi" w:eastAsia="ArialMT" w:hAnsiTheme="minorHAnsi"/>
          <w:sz w:val="22"/>
        </w:rPr>
      </w:pPr>
      <w:r w:rsidRPr="00885434">
        <w:rPr>
          <w:rFonts w:asciiTheme="minorHAnsi" w:eastAsia="ArialMT" w:hAnsiTheme="minorHAnsi"/>
          <w:sz w:val="22"/>
        </w:rPr>
        <w:t>Zespół Szkół</w:t>
      </w:r>
      <w:r w:rsidR="00235A3F" w:rsidRPr="00885434">
        <w:rPr>
          <w:rFonts w:asciiTheme="minorHAnsi" w:eastAsia="ArialMT" w:hAnsiTheme="minorHAnsi"/>
          <w:sz w:val="22"/>
        </w:rPr>
        <w:t xml:space="preserve"> w Jerzykowie</w:t>
      </w:r>
      <w:r w:rsidRPr="00885434">
        <w:rPr>
          <w:rFonts w:asciiTheme="minorHAnsi" w:eastAsia="ArialMT" w:hAnsiTheme="minorHAnsi"/>
          <w:sz w:val="22"/>
        </w:rPr>
        <w:t xml:space="preserve"> </w:t>
      </w:r>
      <w:r w:rsidR="00235A3F" w:rsidRPr="00885434">
        <w:rPr>
          <w:rFonts w:asciiTheme="minorHAnsi" w:eastAsia="ArialMT" w:hAnsiTheme="minorHAnsi"/>
          <w:sz w:val="22"/>
        </w:rPr>
        <w:t>(</w:t>
      </w:r>
      <w:r w:rsidRPr="00885434">
        <w:rPr>
          <w:rFonts w:asciiTheme="minorHAnsi" w:eastAsia="ArialMT" w:hAnsiTheme="minorHAnsi"/>
          <w:sz w:val="22"/>
        </w:rPr>
        <w:t>Szkoła Podstawowa</w:t>
      </w:r>
      <w:r w:rsidR="00235A3F" w:rsidRPr="00885434">
        <w:rPr>
          <w:rFonts w:asciiTheme="minorHAnsi" w:eastAsia="ArialMT" w:hAnsiTheme="minorHAnsi"/>
          <w:sz w:val="22"/>
        </w:rPr>
        <w:t xml:space="preserve"> 192 uczniów</w:t>
      </w:r>
      <w:r w:rsidRPr="00885434">
        <w:rPr>
          <w:rFonts w:asciiTheme="minorHAnsi" w:eastAsia="ArialMT" w:hAnsiTheme="minorHAnsi"/>
          <w:sz w:val="22"/>
        </w:rPr>
        <w:t xml:space="preserve"> i Gimnazjum</w:t>
      </w:r>
      <w:r w:rsidR="00235A3F" w:rsidRPr="00885434">
        <w:rPr>
          <w:rFonts w:asciiTheme="minorHAnsi" w:eastAsia="ArialMT" w:hAnsiTheme="minorHAnsi"/>
          <w:sz w:val="22"/>
        </w:rPr>
        <w:t xml:space="preserve"> 150 uczniów)</w:t>
      </w:r>
      <w:r w:rsidRPr="00885434">
        <w:rPr>
          <w:rFonts w:asciiTheme="minorHAnsi" w:eastAsia="ArialMT" w:hAnsiTheme="minorHAnsi"/>
          <w:sz w:val="22"/>
        </w:rPr>
        <w:t>,</w:t>
      </w:r>
    </w:p>
    <w:p w:rsidR="00196283" w:rsidRPr="00885434" w:rsidRDefault="00196283" w:rsidP="00E84FFC">
      <w:pPr>
        <w:pStyle w:val="Akapitzlist"/>
        <w:numPr>
          <w:ilvl w:val="0"/>
          <w:numId w:val="4"/>
        </w:numPr>
        <w:spacing w:line="276" w:lineRule="auto"/>
        <w:jc w:val="both"/>
        <w:rPr>
          <w:rFonts w:asciiTheme="minorHAnsi" w:eastAsia="ArialMT" w:hAnsiTheme="minorHAnsi"/>
          <w:sz w:val="22"/>
        </w:rPr>
      </w:pPr>
      <w:r w:rsidRPr="00885434">
        <w:rPr>
          <w:rFonts w:asciiTheme="minorHAnsi" w:eastAsia="ArialMT" w:hAnsiTheme="minorHAnsi"/>
          <w:sz w:val="22"/>
        </w:rPr>
        <w:t>Zespół Szkół</w:t>
      </w:r>
      <w:r w:rsidR="00235A3F" w:rsidRPr="00885434">
        <w:rPr>
          <w:rFonts w:asciiTheme="minorHAnsi" w:eastAsia="ArialMT" w:hAnsiTheme="minorHAnsi"/>
          <w:sz w:val="22"/>
        </w:rPr>
        <w:t xml:space="preserve"> we Wronczynie</w:t>
      </w:r>
      <w:r w:rsidRPr="00885434">
        <w:rPr>
          <w:rFonts w:asciiTheme="minorHAnsi" w:eastAsia="ArialMT" w:hAnsiTheme="minorHAnsi"/>
          <w:sz w:val="22"/>
        </w:rPr>
        <w:t xml:space="preserve"> </w:t>
      </w:r>
      <w:r w:rsidR="00235A3F" w:rsidRPr="00885434">
        <w:rPr>
          <w:rFonts w:asciiTheme="minorHAnsi" w:eastAsia="ArialMT" w:hAnsiTheme="minorHAnsi"/>
          <w:sz w:val="22"/>
        </w:rPr>
        <w:t>(</w:t>
      </w:r>
      <w:r w:rsidRPr="00885434">
        <w:rPr>
          <w:rFonts w:asciiTheme="minorHAnsi" w:eastAsia="ArialMT" w:hAnsiTheme="minorHAnsi"/>
          <w:sz w:val="22"/>
        </w:rPr>
        <w:t>Szkoła Podstawowa</w:t>
      </w:r>
      <w:r w:rsidR="00235A3F" w:rsidRPr="00885434">
        <w:rPr>
          <w:rFonts w:asciiTheme="minorHAnsi" w:eastAsia="ArialMT" w:hAnsiTheme="minorHAnsi"/>
          <w:sz w:val="22"/>
        </w:rPr>
        <w:t xml:space="preserve"> 70 uczniów</w:t>
      </w:r>
      <w:r w:rsidRPr="00885434">
        <w:rPr>
          <w:rFonts w:asciiTheme="minorHAnsi" w:eastAsia="ArialMT" w:hAnsiTheme="minorHAnsi"/>
          <w:sz w:val="22"/>
        </w:rPr>
        <w:t xml:space="preserve"> i Gimnazjum</w:t>
      </w:r>
      <w:r w:rsidR="00235A3F" w:rsidRPr="00885434">
        <w:rPr>
          <w:rFonts w:asciiTheme="minorHAnsi" w:eastAsia="ArialMT" w:hAnsiTheme="minorHAnsi"/>
          <w:sz w:val="22"/>
        </w:rPr>
        <w:t xml:space="preserve"> 32 uczniów)</w:t>
      </w:r>
      <w:r w:rsidRPr="00885434">
        <w:rPr>
          <w:rFonts w:asciiTheme="minorHAnsi" w:eastAsia="ArialMT" w:hAnsiTheme="minorHAnsi"/>
          <w:sz w:val="22"/>
        </w:rPr>
        <w:t>,</w:t>
      </w:r>
    </w:p>
    <w:p w:rsidR="00196283" w:rsidRPr="00885434" w:rsidRDefault="001B7B1E" w:rsidP="00E84FFC">
      <w:pPr>
        <w:pStyle w:val="Akapitzlist"/>
        <w:numPr>
          <w:ilvl w:val="0"/>
          <w:numId w:val="4"/>
        </w:numPr>
        <w:spacing w:line="276" w:lineRule="auto"/>
        <w:jc w:val="both"/>
        <w:rPr>
          <w:rFonts w:asciiTheme="minorHAnsi" w:eastAsia="ArialMT" w:hAnsiTheme="minorHAnsi"/>
          <w:sz w:val="22"/>
        </w:rPr>
      </w:pPr>
      <w:r w:rsidRPr="00885434">
        <w:rPr>
          <w:rFonts w:asciiTheme="minorHAnsi" w:eastAsia="ArialMT" w:hAnsiTheme="minorHAnsi"/>
          <w:sz w:val="22"/>
        </w:rPr>
        <w:t>Zespół Szkół w Pobiedziskach Letnisku</w:t>
      </w:r>
      <w:r w:rsidR="00196283" w:rsidRPr="00885434">
        <w:rPr>
          <w:rFonts w:asciiTheme="minorHAnsi" w:eastAsia="ArialMT" w:hAnsiTheme="minorHAnsi"/>
          <w:sz w:val="22"/>
        </w:rPr>
        <w:t xml:space="preserve"> </w:t>
      </w:r>
      <w:r w:rsidR="00235A3F" w:rsidRPr="00885434">
        <w:rPr>
          <w:rFonts w:asciiTheme="minorHAnsi" w:eastAsia="ArialMT" w:hAnsiTheme="minorHAnsi"/>
          <w:sz w:val="22"/>
        </w:rPr>
        <w:t>(</w:t>
      </w:r>
      <w:r w:rsidR="00196283" w:rsidRPr="00885434">
        <w:rPr>
          <w:rFonts w:asciiTheme="minorHAnsi" w:eastAsia="ArialMT" w:hAnsiTheme="minorHAnsi"/>
          <w:sz w:val="22"/>
        </w:rPr>
        <w:t>Szkoła Podstawowa</w:t>
      </w:r>
      <w:r w:rsidR="00235A3F" w:rsidRPr="00885434">
        <w:rPr>
          <w:rFonts w:asciiTheme="minorHAnsi" w:eastAsia="ArialMT" w:hAnsiTheme="minorHAnsi"/>
          <w:sz w:val="22"/>
        </w:rPr>
        <w:t xml:space="preserve"> 112 uczniów</w:t>
      </w:r>
      <w:r w:rsidR="00196283" w:rsidRPr="00885434">
        <w:rPr>
          <w:rFonts w:asciiTheme="minorHAnsi" w:eastAsia="ArialMT" w:hAnsiTheme="minorHAnsi"/>
          <w:sz w:val="22"/>
        </w:rPr>
        <w:t>, Gimnazjum</w:t>
      </w:r>
      <w:r w:rsidR="00235A3F" w:rsidRPr="00885434">
        <w:rPr>
          <w:rFonts w:asciiTheme="minorHAnsi" w:eastAsia="ArialMT" w:hAnsiTheme="minorHAnsi"/>
          <w:sz w:val="22"/>
        </w:rPr>
        <w:t xml:space="preserve"> </w:t>
      </w:r>
      <w:r w:rsidR="0068086D">
        <w:rPr>
          <w:rFonts w:asciiTheme="minorHAnsi" w:eastAsia="ArialMT" w:hAnsiTheme="minorHAnsi"/>
          <w:sz w:val="22"/>
        </w:rPr>
        <w:br/>
      </w:r>
      <w:r w:rsidR="00235A3F" w:rsidRPr="00885434">
        <w:rPr>
          <w:rFonts w:asciiTheme="minorHAnsi" w:eastAsia="ArialMT" w:hAnsiTheme="minorHAnsi"/>
          <w:sz w:val="22"/>
        </w:rPr>
        <w:t>59 uczniów</w:t>
      </w:r>
      <w:r w:rsidR="00196283" w:rsidRPr="00885434">
        <w:rPr>
          <w:rFonts w:asciiTheme="minorHAnsi" w:eastAsia="ArialMT" w:hAnsiTheme="minorHAnsi"/>
          <w:sz w:val="22"/>
        </w:rPr>
        <w:t>, Liceum</w:t>
      </w:r>
      <w:r w:rsidR="00235A3F" w:rsidRPr="00885434">
        <w:rPr>
          <w:rFonts w:asciiTheme="minorHAnsi" w:eastAsia="ArialMT" w:hAnsiTheme="minorHAnsi"/>
          <w:sz w:val="22"/>
        </w:rPr>
        <w:t xml:space="preserve"> </w:t>
      </w:r>
      <w:r w:rsidR="00196283" w:rsidRPr="00885434">
        <w:rPr>
          <w:rFonts w:asciiTheme="minorHAnsi" w:eastAsia="ArialMT" w:hAnsiTheme="minorHAnsi"/>
          <w:sz w:val="22"/>
        </w:rPr>
        <w:t>Ogólnokształcące</w:t>
      </w:r>
      <w:r w:rsidR="00235A3F" w:rsidRPr="00885434">
        <w:rPr>
          <w:rFonts w:asciiTheme="minorHAnsi" w:eastAsia="ArialMT" w:hAnsiTheme="minorHAnsi"/>
          <w:sz w:val="22"/>
        </w:rPr>
        <w:t xml:space="preserve"> 48 uczniów</w:t>
      </w:r>
      <w:r w:rsidR="00196283" w:rsidRPr="00885434">
        <w:rPr>
          <w:rFonts w:asciiTheme="minorHAnsi" w:eastAsia="ArialMT" w:hAnsiTheme="minorHAnsi"/>
          <w:sz w:val="22"/>
        </w:rPr>
        <w:t xml:space="preserve"> </w:t>
      </w:r>
      <w:r w:rsidRPr="00885434">
        <w:rPr>
          <w:rFonts w:asciiTheme="minorHAnsi" w:eastAsia="ArialMT" w:hAnsiTheme="minorHAnsi"/>
          <w:sz w:val="22"/>
        </w:rPr>
        <w:t xml:space="preserve">i </w:t>
      </w:r>
      <w:r w:rsidR="00235A3F" w:rsidRPr="00885434">
        <w:rPr>
          <w:rFonts w:asciiTheme="minorHAnsi" w:eastAsia="ArialMT" w:hAnsiTheme="minorHAnsi"/>
          <w:sz w:val="22"/>
        </w:rPr>
        <w:t xml:space="preserve">Liceum </w:t>
      </w:r>
      <w:r w:rsidRPr="00885434">
        <w:rPr>
          <w:rFonts w:asciiTheme="minorHAnsi" w:eastAsia="ArialMT" w:hAnsiTheme="minorHAnsi"/>
          <w:sz w:val="22"/>
        </w:rPr>
        <w:t xml:space="preserve">Profilowane </w:t>
      </w:r>
      <w:r w:rsidR="00235A3F" w:rsidRPr="00885434">
        <w:rPr>
          <w:rFonts w:asciiTheme="minorHAnsi" w:eastAsia="ArialMT" w:hAnsiTheme="minorHAnsi"/>
          <w:sz w:val="22"/>
        </w:rPr>
        <w:t>22 uczniów)</w:t>
      </w:r>
      <w:r w:rsidR="00196283" w:rsidRPr="00885434">
        <w:rPr>
          <w:rFonts w:asciiTheme="minorHAnsi" w:eastAsia="ArialMT" w:hAnsiTheme="minorHAnsi"/>
          <w:sz w:val="22"/>
        </w:rPr>
        <w:t>,</w:t>
      </w:r>
    </w:p>
    <w:p w:rsidR="00196283" w:rsidRPr="00885434" w:rsidRDefault="00196283" w:rsidP="00E84FFC">
      <w:pPr>
        <w:pStyle w:val="Akapitzlist"/>
        <w:numPr>
          <w:ilvl w:val="0"/>
          <w:numId w:val="4"/>
        </w:numPr>
        <w:spacing w:line="276" w:lineRule="auto"/>
        <w:jc w:val="both"/>
        <w:rPr>
          <w:rFonts w:asciiTheme="minorHAnsi" w:eastAsia="ArialMT" w:hAnsiTheme="minorHAnsi"/>
          <w:sz w:val="22"/>
        </w:rPr>
      </w:pPr>
      <w:r w:rsidRPr="00885434">
        <w:rPr>
          <w:rFonts w:asciiTheme="minorHAnsi" w:eastAsia="ArialMT" w:hAnsiTheme="minorHAnsi"/>
          <w:sz w:val="22"/>
        </w:rPr>
        <w:t>Szkoła Podstawowa w Pomarzanowicach</w:t>
      </w:r>
      <w:r w:rsidR="00051E1E" w:rsidRPr="00885434">
        <w:rPr>
          <w:rFonts w:asciiTheme="minorHAnsi" w:eastAsia="ArialMT" w:hAnsiTheme="minorHAnsi"/>
          <w:sz w:val="22"/>
        </w:rPr>
        <w:t xml:space="preserve"> (4</w:t>
      </w:r>
      <w:r w:rsidR="00CD2834">
        <w:rPr>
          <w:rFonts w:asciiTheme="minorHAnsi" w:eastAsia="ArialMT" w:hAnsiTheme="minorHAnsi"/>
          <w:sz w:val="22"/>
        </w:rPr>
        <w:t>7</w:t>
      </w:r>
      <w:r w:rsidR="00051E1E" w:rsidRPr="00885434">
        <w:rPr>
          <w:rFonts w:asciiTheme="minorHAnsi" w:eastAsia="ArialMT" w:hAnsiTheme="minorHAnsi"/>
          <w:sz w:val="22"/>
        </w:rPr>
        <w:t xml:space="preserve"> uczniów)</w:t>
      </w:r>
      <w:r w:rsidRPr="00885434">
        <w:rPr>
          <w:rFonts w:asciiTheme="minorHAnsi" w:eastAsia="ArialMT" w:hAnsiTheme="minorHAnsi"/>
          <w:sz w:val="22"/>
        </w:rPr>
        <w:t>,</w:t>
      </w:r>
    </w:p>
    <w:p w:rsidR="00196283" w:rsidRPr="00885434" w:rsidRDefault="00196283" w:rsidP="00E84FFC">
      <w:pPr>
        <w:pStyle w:val="Akapitzlist"/>
        <w:numPr>
          <w:ilvl w:val="0"/>
          <w:numId w:val="4"/>
        </w:numPr>
        <w:spacing w:line="276" w:lineRule="auto"/>
        <w:jc w:val="both"/>
        <w:rPr>
          <w:rFonts w:asciiTheme="minorHAnsi" w:eastAsia="ArialMT" w:hAnsiTheme="minorHAnsi"/>
          <w:sz w:val="22"/>
        </w:rPr>
      </w:pPr>
      <w:r w:rsidRPr="00885434">
        <w:rPr>
          <w:rFonts w:asciiTheme="minorHAnsi" w:eastAsia="ArialMT" w:hAnsiTheme="minorHAnsi"/>
          <w:sz w:val="22"/>
        </w:rPr>
        <w:t>Szkoła Podstawowa w Węglewie</w:t>
      </w:r>
      <w:r w:rsidR="00051E1E" w:rsidRPr="00885434">
        <w:rPr>
          <w:rFonts w:asciiTheme="minorHAnsi" w:eastAsia="ArialMT" w:hAnsiTheme="minorHAnsi"/>
          <w:sz w:val="22"/>
        </w:rPr>
        <w:t xml:space="preserve"> (65 uczniów)</w:t>
      </w:r>
      <w:r w:rsidR="004A7B05">
        <w:rPr>
          <w:rFonts w:asciiTheme="minorHAnsi" w:eastAsia="ArialMT" w:hAnsiTheme="minorHAnsi"/>
          <w:sz w:val="22"/>
        </w:rPr>
        <w:t>.</w:t>
      </w:r>
    </w:p>
    <w:p w:rsidR="00235A3F" w:rsidRDefault="00235A3F" w:rsidP="004A7B05">
      <w:pPr>
        <w:spacing w:before="60" w:after="60"/>
        <w:jc w:val="both"/>
      </w:pPr>
      <w:r w:rsidRPr="00885434">
        <w:t xml:space="preserve">Ponadto w </w:t>
      </w:r>
      <w:r w:rsidRPr="00D64440">
        <w:t>Pobiedziskach</w:t>
      </w:r>
      <w:r w:rsidR="008E0BAA" w:rsidRPr="00D64440">
        <w:t xml:space="preserve"> do dnia 31.08.2011</w:t>
      </w:r>
      <w:r w:rsidR="00D64440" w:rsidRPr="00D64440">
        <w:t xml:space="preserve"> </w:t>
      </w:r>
      <w:r w:rsidR="008E0BAA" w:rsidRPr="00D64440">
        <w:t>r. istniało</w:t>
      </w:r>
      <w:r w:rsidR="008E0BAA">
        <w:rPr>
          <w:color w:val="FF0000"/>
        </w:rPr>
        <w:t xml:space="preserve"> </w:t>
      </w:r>
      <w:r w:rsidRPr="008E0BAA">
        <w:t>prywatne</w:t>
      </w:r>
      <w:r w:rsidRPr="00885434">
        <w:t xml:space="preserve"> gimnazjum i liceum ogólnokształcące prowadzone przez Zgromadzenie Sióstr Najświętszego Serca Jezusa.</w:t>
      </w:r>
    </w:p>
    <w:p w:rsidR="00A81FC0" w:rsidRPr="00A81FC0" w:rsidRDefault="00A81FC0" w:rsidP="004A7B05">
      <w:pPr>
        <w:spacing w:before="60" w:after="60"/>
        <w:jc w:val="both"/>
        <w:rPr>
          <w:rFonts w:ascii="Calibri" w:hAnsi="Calibri" w:cs="Calibri"/>
        </w:rPr>
      </w:pPr>
      <w:r w:rsidRPr="00A81FC0">
        <w:rPr>
          <w:rFonts w:ascii="Calibri" w:hAnsi="Calibri" w:cs="Calibri"/>
        </w:rPr>
        <w:t xml:space="preserve">Nauka języków obcych w </w:t>
      </w:r>
      <w:r>
        <w:rPr>
          <w:rFonts w:ascii="Calibri" w:hAnsi="Calibri" w:cs="Calibri"/>
        </w:rPr>
        <w:t xml:space="preserve">pobiedziskich </w:t>
      </w:r>
      <w:r w:rsidRPr="00A81FC0">
        <w:rPr>
          <w:rFonts w:ascii="Calibri" w:hAnsi="Calibri" w:cs="Calibri"/>
        </w:rPr>
        <w:t>szkołach rozpoczyna się od klasy I szkoły podstawowej</w:t>
      </w:r>
      <w:r>
        <w:rPr>
          <w:rFonts w:ascii="Calibri" w:hAnsi="Calibri" w:cs="Calibri"/>
        </w:rPr>
        <w:t xml:space="preserve">. </w:t>
      </w:r>
      <w:r w:rsidR="0068086D">
        <w:rPr>
          <w:rFonts w:ascii="Calibri" w:hAnsi="Calibri" w:cs="Calibri"/>
        </w:rPr>
        <w:br/>
      </w:r>
      <w:r w:rsidRPr="00A81FC0">
        <w:rPr>
          <w:rFonts w:ascii="Calibri" w:hAnsi="Calibri" w:cs="Calibri"/>
        </w:rPr>
        <w:t xml:space="preserve">W gminie wszyscy uczniowie uczą się języka angielskiego jako </w:t>
      </w:r>
      <w:r w:rsidR="00FE19BE">
        <w:rPr>
          <w:rFonts w:ascii="Calibri" w:hAnsi="Calibri" w:cs="Calibri"/>
        </w:rPr>
        <w:t xml:space="preserve">języka </w:t>
      </w:r>
      <w:r w:rsidRPr="00A81FC0">
        <w:rPr>
          <w:rFonts w:ascii="Calibri" w:hAnsi="Calibri" w:cs="Calibri"/>
        </w:rPr>
        <w:t>obowiązkowego</w:t>
      </w:r>
      <w:r>
        <w:rPr>
          <w:rFonts w:ascii="Calibri" w:hAnsi="Calibri" w:cs="Calibri"/>
        </w:rPr>
        <w:t xml:space="preserve">. </w:t>
      </w:r>
      <w:r w:rsidRPr="00A81FC0">
        <w:rPr>
          <w:rFonts w:ascii="Calibri" w:hAnsi="Calibri" w:cs="Calibri"/>
        </w:rPr>
        <w:t xml:space="preserve">W gimnazjach od roku 2009 uczniowie obowiązkowo uczą się </w:t>
      </w:r>
      <w:r w:rsidR="00FE19BE">
        <w:rPr>
          <w:rFonts w:ascii="Calibri" w:hAnsi="Calibri" w:cs="Calibri"/>
        </w:rPr>
        <w:t xml:space="preserve">również </w:t>
      </w:r>
      <w:r w:rsidRPr="00A81FC0">
        <w:rPr>
          <w:rFonts w:ascii="Calibri" w:hAnsi="Calibri" w:cs="Calibri"/>
        </w:rPr>
        <w:t xml:space="preserve">drugiego języka. W Pobiedziskach, Wronczynie i Pobiedziskach Letnisku jest to język niemiecki, </w:t>
      </w:r>
      <w:r>
        <w:rPr>
          <w:rFonts w:ascii="Calibri" w:hAnsi="Calibri" w:cs="Calibri"/>
        </w:rPr>
        <w:t>w</w:t>
      </w:r>
      <w:r w:rsidRPr="00A81FC0">
        <w:rPr>
          <w:rFonts w:ascii="Calibri" w:hAnsi="Calibri" w:cs="Calibri"/>
        </w:rPr>
        <w:t xml:space="preserve"> Jerzykowie – język francuski</w:t>
      </w:r>
      <w:r>
        <w:rPr>
          <w:rFonts w:ascii="Calibri" w:hAnsi="Calibri" w:cs="Calibri"/>
        </w:rPr>
        <w:t xml:space="preserve">. </w:t>
      </w:r>
      <w:r w:rsidRPr="00A81FC0">
        <w:rPr>
          <w:rFonts w:ascii="Calibri" w:hAnsi="Calibri" w:cs="Calibri"/>
        </w:rPr>
        <w:t>Nauka języka angielskiego ma miejsce również w przedszkolach</w:t>
      </w:r>
      <w:r>
        <w:rPr>
          <w:rFonts w:ascii="Calibri" w:hAnsi="Calibri" w:cs="Calibri"/>
        </w:rPr>
        <w:t xml:space="preserve">. </w:t>
      </w:r>
      <w:r w:rsidR="00FE19BE">
        <w:rPr>
          <w:rFonts w:ascii="Calibri" w:hAnsi="Calibri" w:cs="Calibri"/>
        </w:rPr>
        <w:t>C</w:t>
      </w:r>
      <w:r w:rsidRPr="00A81FC0">
        <w:rPr>
          <w:rFonts w:ascii="Calibri" w:hAnsi="Calibri" w:cs="Calibri"/>
        </w:rPr>
        <w:t xml:space="preserve">orocznie </w:t>
      </w:r>
      <w:r w:rsidR="00FE19BE">
        <w:rPr>
          <w:rFonts w:ascii="Calibri" w:hAnsi="Calibri" w:cs="Calibri"/>
        </w:rPr>
        <w:t xml:space="preserve">organizowany jest </w:t>
      </w:r>
      <w:r w:rsidRPr="00A81FC0">
        <w:rPr>
          <w:rFonts w:ascii="Calibri" w:hAnsi="Calibri" w:cs="Calibri"/>
        </w:rPr>
        <w:t>Gminny Konkurs Języka Angielskiego</w:t>
      </w:r>
      <w:r>
        <w:rPr>
          <w:rFonts w:ascii="Calibri" w:hAnsi="Calibri" w:cs="Calibri"/>
        </w:rPr>
        <w:t>.</w:t>
      </w:r>
    </w:p>
    <w:p w:rsidR="00196283" w:rsidRPr="005F70C0" w:rsidRDefault="00196283" w:rsidP="004A7B05">
      <w:pPr>
        <w:spacing w:before="60" w:after="60"/>
        <w:jc w:val="both"/>
        <w:rPr>
          <w:strike/>
        </w:rPr>
      </w:pPr>
      <w:r w:rsidRPr="00885434">
        <w:t xml:space="preserve">Bliska odległość gminy od centrum akademickiego w Poznaniu sprzyja migracji młodzieży w wieku </w:t>
      </w:r>
      <w:r w:rsidR="0068086D">
        <w:br/>
      </w:r>
      <w:r w:rsidRPr="00885434">
        <w:t>16-25 lat celem dalszej edukacji w szkołach ponadgimnazjalnych i wyższych. Ludność w młodszym wieku jest w większości dobrze wykształcona.</w:t>
      </w:r>
      <w:r w:rsidR="00FE19BE">
        <w:t xml:space="preserve"> </w:t>
      </w:r>
      <w:r w:rsidR="00A16D08" w:rsidRPr="00885434">
        <w:t>Charakterystycznym zjawiskiem</w:t>
      </w:r>
      <w:r w:rsidRPr="00885434">
        <w:t xml:space="preserve"> dla gminy jest to, że dobrze wykształceni młodzi mieszkańcy gminy podej</w:t>
      </w:r>
      <w:r w:rsidR="005F70C0">
        <w:t>mują pracę zawodową w Poznaniu.</w:t>
      </w:r>
    </w:p>
    <w:p w:rsidR="00876B17" w:rsidRPr="00885434" w:rsidRDefault="00876B17" w:rsidP="004A7B05">
      <w:pPr>
        <w:spacing w:before="60" w:after="60"/>
        <w:jc w:val="both"/>
      </w:pPr>
      <w:r w:rsidRPr="00885434">
        <w:t>Średnie wyniki egzaminów gimnazjalnych plasują Pobiedziska poniżej średniej dla województwa wielkopolskiego we wszystkich trzech c</w:t>
      </w:r>
      <w:r w:rsidR="00FE19BE">
        <w:t>zęściach egzaminów. Wśród gmin aglomeracji p</w:t>
      </w:r>
      <w:r w:rsidRPr="00885434">
        <w:t xml:space="preserve">oznańskiej Pobiedziska w części humanistycznej zajmują 18 pozycję, w części matematyczno-przyrodniczej </w:t>
      </w:r>
      <w:r w:rsidR="0068086D">
        <w:br/>
      </w:r>
      <w:r w:rsidRPr="00885434">
        <w:t>i językowej, analizowanej na przykładzie języka angielskiego 15 pozycję.</w:t>
      </w:r>
    </w:p>
    <w:p w:rsidR="004A7B05" w:rsidRDefault="004A7B05">
      <w:pPr>
        <w:rPr>
          <w:bCs/>
          <w:sz w:val="20"/>
          <w:szCs w:val="20"/>
        </w:rPr>
      </w:pPr>
      <w:r>
        <w:rPr>
          <w:b/>
          <w:sz w:val="20"/>
          <w:szCs w:val="20"/>
        </w:rPr>
        <w:br w:type="page"/>
      </w:r>
    </w:p>
    <w:p w:rsidR="008F0BA9" w:rsidRPr="004A7B05" w:rsidRDefault="004A7B05" w:rsidP="004A7B05">
      <w:pPr>
        <w:pStyle w:val="Legenda"/>
        <w:spacing w:after="0"/>
        <w:rPr>
          <w:b w:val="0"/>
          <w:color w:val="auto"/>
          <w:sz w:val="20"/>
          <w:szCs w:val="20"/>
        </w:rPr>
      </w:pPr>
      <w:r w:rsidRPr="004A7B05">
        <w:rPr>
          <w:b w:val="0"/>
          <w:color w:val="auto"/>
          <w:sz w:val="20"/>
          <w:szCs w:val="20"/>
        </w:rPr>
        <w:lastRenderedPageBreak/>
        <w:t xml:space="preserve">Wykres </w:t>
      </w:r>
      <w:r w:rsidR="00E07640" w:rsidRPr="004A7B05">
        <w:rPr>
          <w:b w:val="0"/>
          <w:color w:val="auto"/>
          <w:sz w:val="20"/>
          <w:szCs w:val="20"/>
        </w:rPr>
        <w:fldChar w:fldCharType="begin"/>
      </w:r>
      <w:r w:rsidRPr="004A7B05">
        <w:rPr>
          <w:b w:val="0"/>
          <w:color w:val="auto"/>
          <w:sz w:val="20"/>
          <w:szCs w:val="20"/>
        </w:rPr>
        <w:instrText xml:space="preserve"> SEQ Wykres \* ARABIC </w:instrText>
      </w:r>
      <w:r w:rsidR="00E07640" w:rsidRPr="004A7B05">
        <w:rPr>
          <w:b w:val="0"/>
          <w:color w:val="auto"/>
          <w:sz w:val="20"/>
          <w:szCs w:val="20"/>
        </w:rPr>
        <w:fldChar w:fldCharType="separate"/>
      </w:r>
      <w:r w:rsidR="00D540D9">
        <w:rPr>
          <w:b w:val="0"/>
          <w:noProof/>
          <w:color w:val="auto"/>
          <w:sz w:val="20"/>
          <w:szCs w:val="20"/>
        </w:rPr>
        <w:t>14</w:t>
      </w:r>
      <w:r w:rsidR="00E07640" w:rsidRPr="004A7B05">
        <w:rPr>
          <w:b w:val="0"/>
          <w:color w:val="auto"/>
          <w:sz w:val="20"/>
          <w:szCs w:val="20"/>
        </w:rPr>
        <w:fldChar w:fldCharType="end"/>
      </w:r>
      <w:r w:rsidRPr="004A7B05">
        <w:rPr>
          <w:b w:val="0"/>
          <w:color w:val="auto"/>
          <w:sz w:val="20"/>
          <w:szCs w:val="20"/>
        </w:rPr>
        <w:t>.</w:t>
      </w:r>
    </w:p>
    <w:p w:rsidR="00196283" w:rsidRPr="00885434" w:rsidRDefault="00BB657F" w:rsidP="00876B17">
      <w:pPr>
        <w:spacing w:after="0"/>
      </w:pPr>
      <w:r w:rsidRPr="00885434">
        <w:rPr>
          <w:noProof/>
        </w:rPr>
        <w:drawing>
          <wp:inline distT="0" distB="0" distL="0" distR="0">
            <wp:extent cx="3264196" cy="4645158"/>
            <wp:effectExtent l="0" t="0" r="0" b="0"/>
            <wp:docPr id="2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876B17" w:rsidRPr="00885434">
        <w:rPr>
          <w:noProof/>
        </w:rPr>
        <w:t xml:space="preserve"> </w:t>
      </w:r>
      <w:r w:rsidR="00876B17" w:rsidRPr="00885434">
        <w:rPr>
          <w:noProof/>
        </w:rPr>
        <w:drawing>
          <wp:inline distT="0" distB="0" distL="0" distR="0">
            <wp:extent cx="2368668" cy="4646428"/>
            <wp:effectExtent l="0" t="0" r="0" b="0"/>
            <wp:docPr id="9"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26505" w:rsidRPr="004A7B05" w:rsidRDefault="00826505" w:rsidP="004A7B05">
      <w:pPr>
        <w:spacing w:line="240" w:lineRule="auto"/>
        <w:rPr>
          <w:sz w:val="20"/>
          <w:szCs w:val="20"/>
        </w:rPr>
      </w:pPr>
      <w:r w:rsidRPr="004A7B05">
        <w:rPr>
          <w:sz w:val="20"/>
          <w:szCs w:val="20"/>
        </w:rPr>
        <w:t>Źródło: opracowanie własne na podstawie wyników testów gimnazjalnych obwodowych komisji egzaminacyjnych.</w:t>
      </w:r>
    </w:p>
    <w:p w:rsidR="00AB2C65" w:rsidRPr="00885434" w:rsidRDefault="002A4CE5" w:rsidP="004A7B05">
      <w:pPr>
        <w:spacing w:before="60" w:after="60"/>
        <w:jc w:val="both"/>
      </w:pPr>
      <w:r w:rsidRPr="00885434">
        <w:t>Wśród analizowanych gmin miejsko-wiejskich o porównywalnej wielkości</w:t>
      </w:r>
      <w:r w:rsidR="00FE19BE">
        <w:t>,</w:t>
      </w:r>
      <w:r w:rsidRPr="00885434">
        <w:t xml:space="preserve"> Pobiedziska ze względu na średnie wyniki egzaminów gimnazjalnych w części humanistycznej plasują się na 8 pozycji, w części matematyczno-przyrodniczej i językowej na 5 pozycji.</w:t>
      </w:r>
    </w:p>
    <w:p w:rsidR="00AB2C65" w:rsidRPr="00885434" w:rsidRDefault="002804DD" w:rsidP="0068086D">
      <w:pPr>
        <w:spacing w:before="60" w:after="60"/>
        <w:jc w:val="both"/>
      </w:pPr>
      <w:r w:rsidRPr="00885434">
        <w:t xml:space="preserve">Wyniki sprawdzianu w klasach szóstych plasują Pobiedziska </w:t>
      </w:r>
      <w:r w:rsidR="00FE19BE">
        <w:t>na 15 pozycji wśród 21 gmin aglomeracji p</w:t>
      </w:r>
      <w:r w:rsidRPr="00885434">
        <w:t>oznańskiej. Natomiast wśród analizowanych gmin miejsko-wiejskich województwa wielkopolskiego Pobiedziska znalazły się na pierwszej pozycji.</w:t>
      </w:r>
    </w:p>
    <w:p w:rsidR="004A7B05" w:rsidRDefault="004A7B05">
      <w:pPr>
        <w:rPr>
          <w:bCs/>
          <w:sz w:val="18"/>
          <w:szCs w:val="18"/>
        </w:rPr>
      </w:pPr>
      <w:r>
        <w:rPr>
          <w:b/>
        </w:rPr>
        <w:br w:type="page"/>
      </w:r>
    </w:p>
    <w:p w:rsidR="008F0BA9" w:rsidRPr="004A7B05" w:rsidRDefault="008F0BA9" w:rsidP="008F0BA9">
      <w:pPr>
        <w:pStyle w:val="Legenda"/>
        <w:spacing w:after="0"/>
        <w:rPr>
          <w:b w:val="0"/>
          <w:color w:val="auto"/>
          <w:sz w:val="20"/>
          <w:szCs w:val="20"/>
        </w:rPr>
      </w:pPr>
      <w:r w:rsidRPr="004A7B05">
        <w:rPr>
          <w:b w:val="0"/>
          <w:color w:val="auto"/>
          <w:sz w:val="20"/>
          <w:szCs w:val="20"/>
        </w:rPr>
        <w:lastRenderedPageBreak/>
        <w:t xml:space="preserve">Wykres </w:t>
      </w:r>
      <w:r w:rsidR="00E07640" w:rsidRPr="004A7B05">
        <w:rPr>
          <w:b w:val="0"/>
          <w:color w:val="auto"/>
          <w:sz w:val="20"/>
          <w:szCs w:val="20"/>
        </w:rPr>
        <w:fldChar w:fldCharType="begin"/>
      </w:r>
      <w:r w:rsidRPr="004A7B05">
        <w:rPr>
          <w:b w:val="0"/>
          <w:color w:val="auto"/>
          <w:sz w:val="20"/>
          <w:szCs w:val="20"/>
        </w:rPr>
        <w:instrText xml:space="preserve"> SEQ Wykres \* ARABIC </w:instrText>
      </w:r>
      <w:r w:rsidR="00E07640" w:rsidRPr="004A7B05">
        <w:rPr>
          <w:b w:val="0"/>
          <w:color w:val="auto"/>
          <w:sz w:val="20"/>
          <w:szCs w:val="20"/>
        </w:rPr>
        <w:fldChar w:fldCharType="separate"/>
      </w:r>
      <w:r w:rsidR="00D540D9">
        <w:rPr>
          <w:b w:val="0"/>
          <w:noProof/>
          <w:color w:val="auto"/>
          <w:sz w:val="20"/>
          <w:szCs w:val="20"/>
        </w:rPr>
        <w:t>15</w:t>
      </w:r>
      <w:r w:rsidR="00E07640" w:rsidRPr="004A7B05">
        <w:rPr>
          <w:b w:val="0"/>
          <w:color w:val="auto"/>
          <w:sz w:val="20"/>
          <w:szCs w:val="20"/>
        </w:rPr>
        <w:fldChar w:fldCharType="end"/>
      </w:r>
      <w:r w:rsidRPr="004A7B05">
        <w:rPr>
          <w:b w:val="0"/>
          <w:color w:val="auto"/>
          <w:sz w:val="20"/>
          <w:szCs w:val="20"/>
        </w:rPr>
        <w:t>.</w:t>
      </w:r>
    </w:p>
    <w:p w:rsidR="00CC120C" w:rsidRPr="00885434" w:rsidRDefault="00CC120C" w:rsidP="008F0BA9">
      <w:pPr>
        <w:spacing w:after="0"/>
      </w:pPr>
      <w:r w:rsidRPr="00885434">
        <w:rPr>
          <w:noProof/>
        </w:rPr>
        <w:drawing>
          <wp:inline distT="0" distB="0" distL="0" distR="0">
            <wp:extent cx="3149453" cy="4369982"/>
            <wp:effectExtent l="0" t="0" r="0" b="0"/>
            <wp:docPr id="33"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793017" w:rsidRPr="00885434">
        <w:rPr>
          <w:noProof/>
        </w:rPr>
        <w:drawing>
          <wp:inline distT="0" distB="0" distL="0" distR="0">
            <wp:extent cx="2498961" cy="4369982"/>
            <wp:effectExtent l="0" t="0" r="0" b="0"/>
            <wp:docPr id="4"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C120C" w:rsidRPr="004A7B05" w:rsidRDefault="00CC120C" w:rsidP="00C66594">
      <w:pPr>
        <w:spacing w:line="240" w:lineRule="auto"/>
        <w:jc w:val="both"/>
        <w:rPr>
          <w:sz w:val="20"/>
          <w:szCs w:val="20"/>
        </w:rPr>
      </w:pPr>
      <w:r w:rsidRPr="004A7B05">
        <w:rPr>
          <w:sz w:val="20"/>
          <w:szCs w:val="20"/>
        </w:rPr>
        <w:t xml:space="preserve">Źródło: opracowanie własne na podstawie wyników </w:t>
      </w:r>
      <w:r w:rsidR="00024EE7" w:rsidRPr="005F70C0">
        <w:rPr>
          <w:sz w:val="20"/>
          <w:szCs w:val="20"/>
        </w:rPr>
        <w:t xml:space="preserve">sprawdzianów </w:t>
      </w:r>
      <w:r w:rsidR="00667AF5" w:rsidRPr="005F70C0">
        <w:rPr>
          <w:sz w:val="20"/>
          <w:szCs w:val="20"/>
        </w:rPr>
        <w:t xml:space="preserve">szkół podstawowych </w:t>
      </w:r>
      <w:r w:rsidR="00024EE7" w:rsidRPr="005F70C0">
        <w:rPr>
          <w:sz w:val="20"/>
          <w:szCs w:val="20"/>
        </w:rPr>
        <w:t>ogłoszonych przez</w:t>
      </w:r>
      <w:r w:rsidR="00024EE7">
        <w:rPr>
          <w:color w:val="FF0000"/>
          <w:sz w:val="20"/>
          <w:szCs w:val="20"/>
        </w:rPr>
        <w:t xml:space="preserve"> </w:t>
      </w:r>
      <w:r w:rsidR="00024EE7">
        <w:rPr>
          <w:sz w:val="20"/>
          <w:szCs w:val="20"/>
        </w:rPr>
        <w:t>obwodowe komisje egzaminacyjne</w:t>
      </w:r>
      <w:r w:rsidRPr="004A7B05">
        <w:rPr>
          <w:sz w:val="20"/>
          <w:szCs w:val="20"/>
        </w:rPr>
        <w:t>.</w:t>
      </w:r>
    </w:p>
    <w:p w:rsidR="00AB2C65" w:rsidRPr="00885434" w:rsidRDefault="007B79AF" w:rsidP="004A7B05">
      <w:pPr>
        <w:spacing w:before="60" w:after="60"/>
        <w:jc w:val="both"/>
      </w:pPr>
      <w:r>
        <w:t>Szkoły są aktywnym</w:t>
      </w:r>
      <w:r w:rsidR="00FE19BE">
        <w:t xml:space="preserve"> uczestnikiem działań na rzecz </w:t>
      </w:r>
      <w:r>
        <w:t xml:space="preserve">rozwoju społeczeństwa informacyjnego. Wszystkie szkoły posiadają pracownie komputerowe, dzięki którym realizowane są lekcje informatyki. </w:t>
      </w:r>
      <w:r w:rsidR="0068086D">
        <w:br/>
      </w:r>
      <w:r>
        <w:t xml:space="preserve">W Biskupicach, Jerzykowie oraz w Pobiedziskach powstały „Multimedialne Centra dla Bibliotek”. </w:t>
      </w:r>
      <w:r w:rsidR="0068086D">
        <w:br/>
      </w:r>
      <w:r>
        <w:t>W Jerzykowie w 2008</w:t>
      </w:r>
      <w:r w:rsidR="00FE19BE">
        <w:t xml:space="preserve"> r.</w:t>
      </w:r>
      <w:r>
        <w:t xml:space="preserve"> powstało „Centrum Kształcenia n</w:t>
      </w:r>
      <w:r w:rsidR="00CE255E">
        <w:t>a Odległość na wsiach”, wyposażone</w:t>
      </w:r>
      <w:r>
        <w:t xml:space="preserve"> w </w:t>
      </w:r>
      <w:r w:rsidR="0068086D">
        <w:br/>
      </w:r>
      <w:r>
        <w:t>9 stanowisk komputerowych, laptop, projektor multi</w:t>
      </w:r>
      <w:r w:rsidR="00CE255E">
        <w:t>medialny, pełne oprogramowanie oraz</w:t>
      </w:r>
      <w:r>
        <w:t xml:space="preserve"> sprzęt dla osób niepełnosprawnych. Uczestnicy mogą korzystać z 50 </w:t>
      </w:r>
      <w:r w:rsidR="00CE255E">
        <w:t xml:space="preserve">kursów e-learningowych oraz </w:t>
      </w:r>
      <w:r>
        <w:t xml:space="preserve">bezpłatnego </w:t>
      </w:r>
      <w:r w:rsidR="00CE255E">
        <w:t xml:space="preserve">dostępu do </w:t>
      </w:r>
      <w:r>
        <w:t>Internetu. Liczba zapisanych kursantów w ciągu 3 lat to 74 osoby. Centrum czynne jest przez 20 h w tygodniu. Ponadto wp</w:t>
      </w:r>
      <w:r w:rsidR="00950D8E">
        <w:t>rowadzono „e-dziennik” w szkołach</w:t>
      </w:r>
      <w:r>
        <w:t xml:space="preserve"> w Jerzykowie, Biskupicach, Wronczynie</w:t>
      </w:r>
      <w:r w:rsidR="008E0BAA">
        <w:t xml:space="preserve">, </w:t>
      </w:r>
      <w:r w:rsidR="008E0BAA" w:rsidRPr="005F70C0">
        <w:t>Węglewie</w:t>
      </w:r>
      <w:r w:rsidRPr="005F70C0">
        <w:t xml:space="preserve"> </w:t>
      </w:r>
      <w:r>
        <w:t>oraz w Pobiedziskach.</w:t>
      </w:r>
    </w:p>
    <w:p w:rsidR="00AB2C65" w:rsidRDefault="00D001DC" w:rsidP="004A7B05">
      <w:pPr>
        <w:spacing w:before="60" w:after="60"/>
        <w:jc w:val="both"/>
      </w:pPr>
      <w:r w:rsidRPr="00D001DC">
        <w:t xml:space="preserve">W związku z potrzebą stworzenia </w:t>
      </w:r>
      <w:r w:rsidR="00CE255E">
        <w:t>dzieciom niepełnosprawnym</w:t>
      </w:r>
      <w:r w:rsidR="00CE255E" w:rsidRPr="00D001DC">
        <w:t xml:space="preserve"> </w:t>
      </w:r>
      <w:r w:rsidRPr="00D001DC">
        <w:t>warunków kształc</w:t>
      </w:r>
      <w:r w:rsidR="00CE255E">
        <w:t>enia, podjęto decyzję</w:t>
      </w:r>
      <w:r w:rsidRPr="00D001DC">
        <w:t xml:space="preserve"> o utworzeniu klas integracyjnych w Węglewie</w:t>
      </w:r>
      <w:r>
        <w:t xml:space="preserve">. </w:t>
      </w:r>
      <w:r w:rsidR="00CE255E">
        <w:t xml:space="preserve">W </w:t>
      </w:r>
      <w:r w:rsidRPr="00D001DC">
        <w:t xml:space="preserve">2010 </w:t>
      </w:r>
      <w:r w:rsidR="00CE255E">
        <w:t>r. utworzo</w:t>
      </w:r>
      <w:r w:rsidRPr="00D001DC">
        <w:t>n</w:t>
      </w:r>
      <w:r w:rsidR="00CE255E">
        <w:t>o</w:t>
      </w:r>
      <w:r w:rsidRPr="00D001DC">
        <w:t xml:space="preserve"> klas</w:t>
      </w:r>
      <w:r w:rsidR="00CE255E">
        <w:t>y integra</w:t>
      </w:r>
      <w:r w:rsidR="00BC5B54">
        <w:t>cyjne gimnazjalne przy Zespole S</w:t>
      </w:r>
      <w:r w:rsidR="00CE255E">
        <w:t>zkół</w:t>
      </w:r>
      <w:r w:rsidRPr="00D001DC">
        <w:t xml:space="preserve"> we Wronczynie</w:t>
      </w:r>
      <w:r>
        <w:t>.</w:t>
      </w:r>
      <w:r w:rsidR="002F6EF9">
        <w:t xml:space="preserve"> </w:t>
      </w:r>
      <w:r w:rsidR="002F6EF9" w:rsidRPr="002F6EF9">
        <w:t>W Zespole Szkół w Pobiedziskach istnieje nauczanie sp</w:t>
      </w:r>
      <w:r w:rsidR="002F6EF9">
        <w:t xml:space="preserve">ecjalne na poziomie gimnazjum. </w:t>
      </w:r>
      <w:r w:rsidR="002F6EF9" w:rsidRPr="002F6EF9">
        <w:t xml:space="preserve">Na terenie Centrum Edukacyjno-Sportowego pomieszczenia </w:t>
      </w:r>
      <w:r w:rsidR="0068086D">
        <w:br/>
      </w:r>
      <w:r w:rsidR="002F6EF9" w:rsidRPr="002F6EF9">
        <w:t>o łącznej pow. 113 m</w:t>
      </w:r>
      <w:r w:rsidR="002F6EF9" w:rsidRPr="002F6EF9">
        <w:rPr>
          <w:vertAlign w:val="superscript"/>
        </w:rPr>
        <w:t>2</w:t>
      </w:r>
      <w:r w:rsidR="002F6EF9" w:rsidRPr="002F6EF9">
        <w:t xml:space="preserve"> są wykorzystywane przez Stowarzyszenie Dzieci i Młodzieży Niepełnosprawnej w celach rehabilitacyjnych.</w:t>
      </w:r>
      <w:r w:rsidR="002F6EF9">
        <w:t xml:space="preserve"> </w:t>
      </w:r>
      <w:r w:rsidR="002F6EF9" w:rsidRPr="002F6EF9">
        <w:t>Uwzględnia się potrzeby osób niepełnosprawnych w realizowanych inwestycjach, prowadzonych remontach i zakupach m.in. w SP w Węglewie</w:t>
      </w:r>
      <w:r w:rsidR="00950D8E">
        <w:t>,</w:t>
      </w:r>
      <w:r w:rsidR="002F6EF9" w:rsidRPr="002F6EF9">
        <w:t xml:space="preserve"> gdzie kształci się większość dzieci niepełnosprawnych z terenu gminy, została zamontowana winda, która ułatwiła korzystanie z obiektu</w:t>
      </w:r>
      <w:r w:rsidR="002F6EF9">
        <w:t>.</w:t>
      </w:r>
    </w:p>
    <w:p w:rsidR="00D538D0" w:rsidRPr="00885434" w:rsidRDefault="00535843" w:rsidP="00D001DC">
      <w:pPr>
        <w:jc w:val="both"/>
      </w:pPr>
      <w:r>
        <w:pict>
          <v:shape id="_x0000_s1046" type="#_x0000_t185" style="width:167.35pt;height:456.7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46;mso-fit-shape-to-text:t" inset="18pt,18pt,,18pt">
              <w:txbxContent>
                <w:p w:rsidR="00291CA0" w:rsidRPr="007D602E" w:rsidRDefault="00291CA0" w:rsidP="007D602E">
                  <w:pPr>
                    <w:spacing w:before="120" w:after="120"/>
                    <w:jc w:val="both"/>
                    <w:rPr>
                      <w:b/>
                      <w:i/>
                      <w:iCs/>
                      <w:color w:val="943634" w:themeColor="accent2" w:themeShade="BF"/>
                    </w:rPr>
                  </w:pPr>
                  <w:r w:rsidRPr="007D602E">
                    <w:rPr>
                      <w:b/>
                      <w:i/>
                      <w:iCs/>
                      <w:color w:val="943634" w:themeColor="accent2" w:themeShade="BF"/>
                    </w:rPr>
                    <w:t>KONKLUZJE STRATEGICZNE</w:t>
                  </w:r>
                </w:p>
                <w:p w:rsidR="00291CA0" w:rsidRPr="007D602E" w:rsidRDefault="00291CA0" w:rsidP="007D602E">
                  <w:pPr>
                    <w:spacing w:before="120" w:after="120"/>
                    <w:jc w:val="both"/>
                    <w:rPr>
                      <w:b/>
                      <w:i/>
                      <w:iCs/>
                      <w:color w:val="808080" w:themeColor="background1" w:themeShade="80"/>
                    </w:rPr>
                  </w:pPr>
                  <w:r w:rsidRPr="007D602E">
                    <w:rPr>
                      <w:b/>
                      <w:i/>
                      <w:iCs/>
                      <w:color w:val="808080" w:themeColor="background1" w:themeShade="80"/>
                    </w:rPr>
                    <w:t xml:space="preserve">Gmina Pobiedziska ma dobrze rozwinięty system oświaty na poziomie edukacji szkoły podstawowej i </w:t>
                  </w:r>
                  <w:r w:rsidRPr="00854F48">
                    <w:rPr>
                      <w:b/>
                      <w:i/>
                      <w:iCs/>
                      <w:color w:val="808080" w:themeColor="background1" w:themeShade="80"/>
                    </w:rPr>
                    <w:t>gimnazjalnej</w:t>
                  </w:r>
                  <w:r>
                    <w:rPr>
                      <w:b/>
                      <w:i/>
                      <w:iCs/>
                      <w:color w:val="808080" w:themeColor="background1" w:themeShade="80"/>
                    </w:rPr>
                    <w:t>.</w:t>
                  </w:r>
                </w:p>
                <w:p w:rsidR="00291CA0" w:rsidRPr="00854F48" w:rsidRDefault="00291CA0" w:rsidP="007D602E">
                  <w:pPr>
                    <w:spacing w:before="120" w:after="120"/>
                    <w:jc w:val="both"/>
                    <w:rPr>
                      <w:b/>
                      <w:i/>
                      <w:iCs/>
                      <w:strike/>
                      <w:color w:val="808080" w:themeColor="background1" w:themeShade="80"/>
                    </w:rPr>
                  </w:pPr>
                  <w:r w:rsidRPr="007D602E">
                    <w:rPr>
                      <w:b/>
                      <w:i/>
                      <w:iCs/>
                      <w:color w:val="808080" w:themeColor="background1" w:themeShade="80"/>
                    </w:rPr>
                    <w:t xml:space="preserve">Istnieje konieczność dostosowania bazy oświatowej do przyszłych potrzeb </w:t>
                  </w:r>
                  <w:r w:rsidRPr="00854F48">
                    <w:rPr>
                      <w:b/>
                      <w:i/>
                      <w:iCs/>
                      <w:color w:val="808080" w:themeColor="background1" w:themeShade="80"/>
                    </w:rPr>
                    <w:t>związanych z sytuacją demograficzną w obrębie poszczególnych placówek (nowe miejsca przedszkolne dla dzieci w wieku od 3-6 lat, rozbudowa istniejących obiektów szkolnych, reorganizacja istniejących placówek oświatowych).</w:t>
                  </w:r>
                </w:p>
              </w:txbxContent>
            </v:textbox>
            <w10:wrap type="none" anchorx="margin" anchory="margin"/>
            <w10:anchorlock/>
          </v:shape>
        </w:pict>
      </w:r>
    </w:p>
    <w:p w:rsidR="009A7ABC" w:rsidRPr="00885434" w:rsidRDefault="00927DA9" w:rsidP="007D602E">
      <w:pPr>
        <w:pStyle w:val="Nagwek2"/>
        <w:spacing w:before="60" w:after="60"/>
        <w:ind w:left="360"/>
        <w:rPr>
          <w:rFonts w:asciiTheme="minorHAnsi" w:hAnsiTheme="minorHAnsi"/>
          <w:color w:val="943634" w:themeColor="accent2" w:themeShade="BF"/>
        </w:rPr>
      </w:pPr>
      <w:bookmarkStart w:id="13" w:name="_Toc321135330"/>
      <w:r w:rsidRPr="00885434">
        <w:rPr>
          <w:rFonts w:asciiTheme="minorHAnsi" w:hAnsiTheme="minorHAnsi"/>
          <w:color w:val="943634" w:themeColor="accent2" w:themeShade="BF"/>
        </w:rPr>
        <w:t xml:space="preserve">5.2 </w:t>
      </w:r>
      <w:r w:rsidR="009A7ABC" w:rsidRPr="00885434">
        <w:rPr>
          <w:rFonts w:asciiTheme="minorHAnsi" w:hAnsiTheme="minorHAnsi"/>
          <w:color w:val="943634" w:themeColor="accent2" w:themeShade="BF"/>
        </w:rPr>
        <w:t>Infrastruktura techniczna</w:t>
      </w:r>
      <w:bookmarkEnd w:id="13"/>
    </w:p>
    <w:p w:rsidR="00F04BDD" w:rsidRPr="00885434" w:rsidRDefault="00E763AC" w:rsidP="007D602E">
      <w:pPr>
        <w:autoSpaceDE w:val="0"/>
        <w:autoSpaceDN w:val="0"/>
        <w:adjustRightInd w:val="0"/>
        <w:spacing w:before="60" w:after="60"/>
        <w:jc w:val="both"/>
      </w:pPr>
      <w:r w:rsidRPr="00885434">
        <w:t xml:space="preserve">Większość mieszkańców miasta i gminy </w:t>
      </w:r>
      <w:r w:rsidRPr="00F30B42">
        <w:t>Pobiedziska (9</w:t>
      </w:r>
      <w:r w:rsidR="007E2D29" w:rsidRPr="00F30B42">
        <w:t>2,8</w:t>
      </w:r>
      <w:r w:rsidRPr="00F30B42">
        <w:t xml:space="preserve">%) korzysta z sieci wodociągowej. </w:t>
      </w:r>
      <w:r w:rsidR="00F04BDD" w:rsidRPr="00F30B42">
        <w:rPr>
          <w:rFonts w:cs="Tahoma"/>
        </w:rPr>
        <w:t xml:space="preserve">Długość czynnej sieci rozdzielczej wynosiła w 2010 r. prawie 240 km, </w:t>
      </w:r>
      <w:r w:rsidR="00F04BDD" w:rsidRPr="00F30B42">
        <w:t>n</w:t>
      </w:r>
      <w:r w:rsidR="0006326A" w:rsidRPr="00F30B42">
        <w:t>a 100 km</w:t>
      </w:r>
      <w:r w:rsidR="0006326A" w:rsidRPr="00F30B42">
        <w:rPr>
          <w:vertAlign w:val="superscript"/>
        </w:rPr>
        <w:t>2</w:t>
      </w:r>
      <w:r w:rsidR="0006326A" w:rsidRPr="00F30B42">
        <w:t xml:space="preserve"> powierzchni przypada</w:t>
      </w:r>
      <w:r w:rsidR="00F04BDD" w:rsidRPr="00F30B42">
        <w:t>ło</w:t>
      </w:r>
      <w:r w:rsidR="00F30B42" w:rsidRPr="00F30B42">
        <w:t xml:space="preserve"> 12</w:t>
      </w:r>
      <w:r w:rsidR="0006326A" w:rsidRPr="00F30B42">
        <w:t>6</w:t>
      </w:r>
      <w:r w:rsidR="00F30B42" w:rsidRPr="00F30B42">
        <w:t>,4</w:t>
      </w:r>
      <w:r w:rsidR="0006326A" w:rsidRPr="00F30B42">
        <w:t xml:space="preserve"> km sieci wodociągowej. </w:t>
      </w:r>
      <w:r w:rsidR="00EE0F76" w:rsidRPr="00F30B42">
        <w:rPr>
          <w:rFonts w:cs="Tahoma"/>
        </w:rPr>
        <w:t>Woda dostarczana jest do 16,</w:t>
      </w:r>
      <w:r w:rsidR="00950D8E" w:rsidRPr="00F30B42">
        <w:rPr>
          <w:rFonts w:cs="Tahoma"/>
        </w:rPr>
        <w:t>6</w:t>
      </w:r>
      <w:r w:rsidR="00EE0F76" w:rsidRPr="00F30B42">
        <w:rPr>
          <w:rFonts w:cs="Tahoma"/>
        </w:rPr>
        <w:t xml:space="preserve"> tys. mieszkańców gminy, </w:t>
      </w:r>
      <w:r w:rsidR="00587C79" w:rsidRPr="00F30B42">
        <w:rPr>
          <w:rFonts w:cs="Tahoma"/>
        </w:rPr>
        <w:t>dostępu do</w:t>
      </w:r>
      <w:r w:rsidR="00EE0F76" w:rsidRPr="00F30B42">
        <w:rPr>
          <w:rFonts w:cs="Tahoma"/>
        </w:rPr>
        <w:t xml:space="preserve"> sieci wodociągowej nie </w:t>
      </w:r>
      <w:r w:rsidR="00587C79" w:rsidRPr="00F30B42">
        <w:rPr>
          <w:rFonts w:cs="Tahoma"/>
        </w:rPr>
        <w:t>ma</w:t>
      </w:r>
      <w:r w:rsidR="00EE0F76" w:rsidRPr="00F30B42">
        <w:rPr>
          <w:rFonts w:cs="Tahoma"/>
        </w:rPr>
        <w:t xml:space="preserve"> około </w:t>
      </w:r>
      <w:r w:rsidR="00197A67">
        <w:rPr>
          <w:rFonts w:cs="Tahoma"/>
        </w:rPr>
        <w:t>7,2</w:t>
      </w:r>
      <w:r w:rsidR="00EE0F76" w:rsidRPr="00F30B42">
        <w:rPr>
          <w:rFonts w:cs="Tahoma"/>
        </w:rPr>
        <w:t>% ludnośc</w:t>
      </w:r>
      <w:r w:rsidR="00587C79" w:rsidRPr="00F30B42">
        <w:rPr>
          <w:rFonts w:cs="Tahoma"/>
        </w:rPr>
        <w:t>i</w:t>
      </w:r>
      <w:r w:rsidR="00CE255E" w:rsidRPr="00F30B42">
        <w:rPr>
          <w:rFonts w:cs="Tahoma"/>
        </w:rPr>
        <w:t xml:space="preserve"> </w:t>
      </w:r>
      <w:r w:rsidR="00D836CE">
        <w:rPr>
          <w:rFonts w:cs="Tahoma"/>
        </w:rPr>
        <w:t>(¾ z tej liczby to mieszkańcy</w:t>
      </w:r>
      <w:r w:rsidR="00CE255E" w:rsidRPr="00F30B42">
        <w:rPr>
          <w:rFonts w:cs="Tahoma"/>
        </w:rPr>
        <w:t xml:space="preserve"> obszar</w:t>
      </w:r>
      <w:r w:rsidR="00D836CE">
        <w:rPr>
          <w:rFonts w:cs="Tahoma"/>
        </w:rPr>
        <w:t>ów</w:t>
      </w:r>
      <w:r w:rsidR="00CE255E" w:rsidRPr="00F30B42">
        <w:rPr>
          <w:rFonts w:cs="Tahoma"/>
        </w:rPr>
        <w:t xml:space="preserve"> wiej</w:t>
      </w:r>
      <w:r w:rsidR="00D836CE">
        <w:rPr>
          <w:rFonts w:cs="Tahoma"/>
        </w:rPr>
        <w:t>skich)</w:t>
      </w:r>
      <w:r w:rsidR="00CE255E" w:rsidRPr="00F30B42">
        <w:rPr>
          <w:rFonts w:cs="Tahoma"/>
        </w:rPr>
        <w:t>.</w:t>
      </w:r>
      <w:r w:rsidR="00CE255E">
        <w:rPr>
          <w:rFonts w:cs="Tahoma"/>
        </w:rPr>
        <w:t xml:space="preserve"> P</w:t>
      </w:r>
      <w:r w:rsidR="0006326A" w:rsidRPr="00885434">
        <w:t>oza zasięgiem zorganizowanego zaopatrzenia w wodę znajdują się</w:t>
      </w:r>
      <w:r w:rsidR="00EE0F76" w:rsidRPr="00885434">
        <w:t xml:space="preserve"> </w:t>
      </w:r>
      <w:r w:rsidR="0006326A" w:rsidRPr="00885434">
        <w:t>pojedyncze zabudowania zlokalizowane w znacznej odległości od skon</w:t>
      </w:r>
      <w:r w:rsidR="00EE0F76" w:rsidRPr="00885434">
        <w:t>centrowanej zabudowy wiejskiej.</w:t>
      </w:r>
      <w:r w:rsidR="00572130" w:rsidRPr="00885434">
        <w:t xml:space="preserve"> Zużycie wody </w:t>
      </w:r>
      <w:r w:rsidR="0068086D">
        <w:br/>
      </w:r>
      <w:r w:rsidR="00572130" w:rsidRPr="00885434">
        <w:t>z wodociągów w latach 2002-20</w:t>
      </w:r>
      <w:r w:rsidR="00700FAE">
        <w:t>10</w:t>
      </w:r>
      <w:r w:rsidR="00572130" w:rsidRPr="00885434">
        <w:t xml:space="preserve"> w gospodarstwach domowych na 1 mieszkańca utrzymywało się na zbliżonym poziomie około 38m</w:t>
      </w:r>
      <w:r w:rsidR="00572130" w:rsidRPr="00885434">
        <w:rPr>
          <w:vertAlign w:val="superscript"/>
        </w:rPr>
        <w:t>3</w:t>
      </w:r>
      <w:r w:rsidR="00572130" w:rsidRPr="00885434">
        <w:t>.</w:t>
      </w:r>
    </w:p>
    <w:p w:rsidR="00E91C04" w:rsidRPr="00885434" w:rsidRDefault="00E91C04" w:rsidP="007D602E">
      <w:pPr>
        <w:autoSpaceDE w:val="0"/>
        <w:autoSpaceDN w:val="0"/>
        <w:adjustRightInd w:val="0"/>
        <w:spacing w:before="60" w:after="60"/>
        <w:jc w:val="both"/>
        <w:rPr>
          <w:rFonts w:cs="ACaslonPro-Regular"/>
        </w:rPr>
      </w:pPr>
      <w:r w:rsidRPr="00885434">
        <w:t xml:space="preserve">Za realizację zadań związanych z rozwiązywaniem problemów </w:t>
      </w:r>
      <w:r w:rsidR="00F04BDD" w:rsidRPr="00885434">
        <w:t>gospodarki wodnej na terenie gminy</w:t>
      </w:r>
      <w:r w:rsidRPr="00885434">
        <w:t xml:space="preserve"> Pobiedziska odpowiedzialny jest Zakład Komunalny, który stanowi jednostkę organizacyjną Miasta </w:t>
      </w:r>
      <w:r w:rsidR="0068086D">
        <w:br/>
      </w:r>
      <w:r w:rsidRPr="00885434">
        <w:t xml:space="preserve">i Gminy Pobiedziska. </w:t>
      </w:r>
      <w:r w:rsidR="005D24DA" w:rsidRPr="00885434">
        <w:t xml:space="preserve">W </w:t>
      </w:r>
      <w:r w:rsidR="00587C79" w:rsidRPr="00885434">
        <w:t>g</w:t>
      </w:r>
      <w:r w:rsidR="005D24DA" w:rsidRPr="00885434">
        <w:t xml:space="preserve">minie Pobiedziska w zarządzie Zakładu Komunalnego znajduje się osiem stacji uzdatniania wody w miejscowościach Biskupice, Gołuń, Góra, Jerzyn, Latalice, Pobiedziska, Stęszewko, Tuczno. Przeprowadzona </w:t>
      </w:r>
      <w:r w:rsidRPr="00885434">
        <w:rPr>
          <w:rFonts w:cs="ACaslonPro-Regular"/>
        </w:rPr>
        <w:t>modernizacja</w:t>
      </w:r>
      <w:r w:rsidR="005D24DA" w:rsidRPr="00885434">
        <w:rPr>
          <w:rFonts w:cs="ACaslonPro-Regular"/>
        </w:rPr>
        <w:t xml:space="preserve"> </w:t>
      </w:r>
      <w:r w:rsidRPr="00885434">
        <w:rPr>
          <w:rFonts w:cs="ACaslonPro-Regular"/>
        </w:rPr>
        <w:t xml:space="preserve">największej stacji uzdatniania wody </w:t>
      </w:r>
      <w:r w:rsidR="0068086D">
        <w:rPr>
          <w:rFonts w:cs="ACaslonPro-Regular"/>
        </w:rPr>
        <w:br/>
      </w:r>
      <w:r w:rsidRPr="00885434">
        <w:rPr>
          <w:rFonts w:cs="ACaslonPro-Regular"/>
        </w:rPr>
        <w:t>w Pobiedziskach</w:t>
      </w:r>
      <w:r w:rsidR="00CE255E">
        <w:rPr>
          <w:rFonts w:cs="ACaslonPro-Regular"/>
        </w:rPr>
        <w:t>,</w:t>
      </w:r>
      <w:r w:rsidRPr="00885434">
        <w:rPr>
          <w:rFonts w:cs="ACaslonPro-Regular"/>
        </w:rPr>
        <w:t xml:space="preserve"> dostarczając</w:t>
      </w:r>
      <w:r w:rsidR="005D24DA" w:rsidRPr="00885434">
        <w:rPr>
          <w:rFonts w:cs="ACaslonPro-Regular"/>
        </w:rPr>
        <w:t xml:space="preserve">ej </w:t>
      </w:r>
      <w:r w:rsidRPr="00885434">
        <w:rPr>
          <w:rFonts w:cs="ACaslonPro-Regular"/>
        </w:rPr>
        <w:t>wod</w:t>
      </w:r>
      <w:r w:rsidR="005D24DA" w:rsidRPr="00885434">
        <w:rPr>
          <w:rFonts w:cs="ACaslonPro-Regular"/>
        </w:rPr>
        <w:t>ę do ponad 10 ty</w:t>
      </w:r>
      <w:r w:rsidR="007C3D7A" w:rsidRPr="00885434">
        <w:rPr>
          <w:rFonts w:cs="ACaslonPro-Regular"/>
        </w:rPr>
        <w:t>s</w:t>
      </w:r>
      <w:r w:rsidR="005D24DA" w:rsidRPr="00885434">
        <w:rPr>
          <w:rFonts w:cs="ACaslonPro-Regular"/>
        </w:rPr>
        <w:t>. mieszkańców</w:t>
      </w:r>
      <w:r w:rsidR="00CE255E">
        <w:rPr>
          <w:rFonts w:cs="ACaslonPro-Regular"/>
        </w:rPr>
        <w:t>.</w:t>
      </w:r>
      <w:r w:rsidR="005D24DA" w:rsidRPr="00885434">
        <w:rPr>
          <w:rFonts w:cs="ACaslonPro-Regular"/>
        </w:rPr>
        <w:t xml:space="preserve"> obejmowała </w:t>
      </w:r>
      <w:r w:rsidRPr="00885434">
        <w:rPr>
          <w:rFonts w:cs="ACaslonPro-Regular"/>
        </w:rPr>
        <w:t>wymianę ponad trzydziestoletnich urządzeń technologicznych</w:t>
      </w:r>
      <w:r w:rsidR="005D24DA" w:rsidRPr="00885434">
        <w:rPr>
          <w:rFonts w:cs="ACaslonPro-Regular"/>
        </w:rPr>
        <w:t xml:space="preserve"> </w:t>
      </w:r>
      <w:r w:rsidRPr="00885434">
        <w:rPr>
          <w:rFonts w:cs="ACaslonPro-Regular"/>
        </w:rPr>
        <w:t>zapewniających wodę dla mieszkańców Pobiedzisk</w:t>
      </w:r>
      <w:r w:rsidR="005D24DA" w:rsidRPr="00885434">
        <w:rPr>
          <w:rFonts w:cs="ACaslonPro-Regular"/>
        </w:rPr>
        <w:t xml:space="preserve"> </w:t>
      </w:r>
      <w:r w:rsidRPr="00885434">
        <w:rPr>
          <w:rFonts w:cs="ACaslonPro-Regular"/>
        </w:rPr>
        <w:t>oraz okolicznych miejscowości.</w:t>
      </w:r>
    </w:p>
    <w:p w:rsidR="007359A2" w:rsidRPr="00885434" w:rsidRDefault="00582129" w:rsidP="007D602E">
      <w:pPr>
        <w:spacing w:before="60" w:after="60"/>
        <w:jc w:val="both"/>
      </w:pPr>
      <w:r w:rsidRPr="00590660">
        <w:rPr>
          <w:szCs w:val="20"/>
        </w:rPr>
        <w:t>Z sieci</w:t>
      </w:r>
      <w:r w:rsidR="008947B5" w:rsidRPr="00590660">
        <w:rPr>
          <w:szCs w:val="20"/>
        </w:rPr>
        <w:t xml:space="preserve"> </w:t>
      </w:r>
      <w:r w:rsidRPr="00590660">
        <w:rPr>
          <w:szCs w:val="20"/>
        </w:rPr>
        <w:t>rozdzielczej</w:t>
      </w:r>
      <w:r w:rsidR="00572130" w:rsidRPr="00590660">
        <w:rPr>
          <w:szCs w:val="20"/>
        </w:rPr>
        <w:t xml:space="preserve"> gazu ziemnego (6</w:t>
      </w:r>
      <w:r w:rsidR="00FB3BBA">
        <w:rPr>
          <w:szCs w:val="20"/>
        </w:rPr>
        <w:t>4</w:t>
      </w:r>
      <w:r w:rsidR="008947B5" w:rsidRPr="00590660">
        <w:rPr>
          <w:szCs w:val="20"/>
        </w:rPr>
        <w:t xml:space="preserve"> km/ 100 km</w:t>
      </w:r>
      <w:r w:rsidR="008947B5" w:rsidRPr="00590660">
        <w:rPr>
          <w:szCs w:val="20"/>
          <w:vertAlign w:val="superscript"/>
        </w:rPr>
        <w:t>2</w:t>
      </w:r>
      <w:r w:rsidR="008947B5" w:rsidRPr="00590660">
        <w:rPr>
          <w:szCs w:val="20"/>
        </w:rPr>
        <w:t>)</w:t>
      </w:r>
      <w:r w:rsidRPr="00590660">
        <w:rPr>
          <w:szCs w:val="20"/>
        </w:rPr>
        <w:t xml:space="preserve"> </w:t>
      </w:r>
      <w:r w:rsidR="008947B5" w:rsidRPr="00590660">
        <w:rPr>
          <w:szCs w:val="20"/>
        </w:rPr>
        <w:t>k</w:t>
      </w:r>
      <w:r w:rsidR="00572130" w:rsidRPr="00590660">
        <w:rPr>
          <w:szCs w:val="20"/>
        </w:rPr>
        <w:t>orzysta prawie 75% mieszkańców.</w:t>
      </w:r>
      <w:r w:rsidR="00572130" w:rsidRPr="00885434">
        <w:rPr>
          <w:szCs w:val="20"/>
        </w:rPr>
        <w:t xml:space="preserve"> Długość czynnej sieci ogółem wynosiła w 20</w:t>
      </w:r>
      <w:r w:rsidR="00FB3BBA">
        <w:rPr>
          <w:szCs w:val="20"/>
        </w:rPr>
        <w:t>10</w:t>
      </w:r>
      <w:r w:rsidR="00572130" w:rsidRPr="00885434">
        <w:rPr>
          <w:szCs w:val="20"/>
        </w:rPr>
        <w:t xml:space="preserve"> r. 13</w:t>
      </w:r>
      <w:r w:rsidR="00FB3BBA">
        <w:rPr>
          <w:szCs w:val="20"/>
        </w:rPr>
        <w:t>8</w:t>
      </w:r>
      <w:r w:rsidR="00572130" w:rsidRPr="00885434">
        <w:rPr>
          <w:szCs w:val="20"/>
        </w:rPr>
        <w:t xml:space="preserve"> km. </w:t>
      </w:r>
      <w:r w:rsidR="00702587" w:rsidRPr="00885434">
        <w:rPr>
          <w:rFonts w:cs="Tahoma"/>
        </w:rPr>
        <w:t xml:space="preserve">Liczba czynnych przyłączy do budynków wzrosła </w:t>
      </w:r>
      <w:r w:rsidR="0068086D">
        <w:rPr>
          <w:rFonts w:cs="Tahoma"/>
        </w:rPr>
        <w:br/>
      </w:r>
      <w:r w:rsidR="00702587" w:rsidRPr="00885434">
        <w:rPr>
          <w:rFonts w:cs="Tahoma"/>
        </w:rPr>
        <w:t>w</w:t>
      </w:r>
      <w:r w:rsidR="000D7811">
        <w:t xml:space="preserve"> latach 2002-2010 o 37</w:t>
      </w:r>
      <w:r w:rsidR="00702587" w:rsidRPr="00885434">
        <w:t xml:space="preserve">%. </w:t>
      </w:r>
      <w:r w:rsidR="009E6297" w:rsidRPr="00885434">
        <w:t>W 20</w:t>
      </w:r>
      <w:r w:rsidR="000D7811">
        <w:t>10</w:t>
      </w:r>
      <w:r w:rsidR="009E6297" w:rsidRPr="00885434">
        <w:t xml:space="preserve"> r. ponad 4 tys. gospodarstw domowych korzystało z sieci gazowej, z czego 3</w:t>
      </w:r>
      <w:r w:rsidR="000D7811">
        <w:t>5</w:t>
      </w:r>
      <w:r w:rsidR="009E6297" w:rsidRPr="00885434">
        <w:t xml:space="preserve">% ogrzewało mieszkania gazem. </w:t>
      </w:r>
      <w:r w:rsidR="00572130" w:rsidRPr="00885434">
        <w:t xml:space="preserve">Zużycie gazu w latach 2002-2009 </w:t>
      </w:r>
      <w:r w:rsidR="009E6297" w:rsidRPr="00885434">
        <w:t xml:space="preserve">wzrosło </w:t>
      </w:r>
      <w:r w:rsidR="0068086D">
        <w:br/>
      </w:r>
      <w:r w:rsidR="009E6297" w:rsidRPr="00885434">
        <w:t>o prawie 10%, przy wzroście o 23% liczby ludności korzystającej z sieci gazowej.</w:t>
      </w:r>
      <w:r w:rsidR="007359A2" w:rsidRPr="00885434">
        <w:t xml:space="preserve"> Miasto i częściowo gmina Pobiedziska zgazyfikowane są gazem ziemnym naazotowanym GZ-35 z gazociągu wysokiego ciśnienia Dn 150 Poznań-Gniezno poprzez dwie stacje redukcyjno-pomiarowe I stopnia: sieć niskiego ciśnienia zasilana jest ze stacji redukcyjno-pomiarowej II stopnia oraz z punktów redukcyjnych. </w:t>
      </w:r>
      <w:r w:rsidR="0068086D">
        <w:br/>
      </w:r>
      <w:r w:rsidR="007359A2" w:rsidRPr="00885434">
        <w:t xml:space="preserve">Na terenie gminy Pobiedziska gaz rozprowadzany jest gazociągami średniego ciśnienia </w:t>
      </w:r>
      <w:r w:rsidR="0068086D">
        <w:br/>
      </w:r>
      <w:r w:rsidR="007359A2" w:rsidRPr="00885434">
        <w:t>z zastosowaniem indywidualnych reduktorów domowych.</w:t>
      </w:r>
    </w:p>
    <w:p w:rsidR="009A7ABC" w:rsidRDefault="008947B5" w:rsidP="007D602E">
      <w:pPr>
        <w:spacing w:before="60" w:after="60"/>
        <w:jc w:val="both"/>
        <w:rPr>
          <w:szCs w:val="20"/>
        </w:rPr>
      </w:pPr>
      <w:r w:rsidRPr="00885434">
        <w:rPr>
          <w:szCs w:val="20"/>
        </w:rPr>
        <w:t xml:space="preserve">Słabo rozbudowana jest </w:t>
      </w:r>
      <w:r w:rsidR="00C86662" w:rsidRPr="00885434">
        <w:rPr>
          <w:szCs w:val="20"/>
        </w:rPr>
        <w:t>sieć kanalizacyjn</w:t>
      </w:r>
      <w:r w:rsidRPr="00885434">
        <w:rPr>
          <w:szCs w:val="20"/>
        </w:rPr>
        <w:t>a</w:t>
      </w:r>
      <w:r w:rsidR="000D7811">
        <w:rPr>
          <w:szCs w:val="20"/>
        </w:rPr>
        <w:t xml:space="preserve"> (2</w:t>
      </w:r>
      <w:r w:rsidR="00C86662" w:rsidRPr="00885434">
        <w:rPr>
          <w:szCs w:val="20"/>
        </w:rPr>
        <w:t>1</w:t>
      </w:r>
      <w:r w:rsidR="000D7811">
        <w:rPr>
          <w:szCs w:val="20"/>
        </w:rPr>
        <w:t>,4</w:t>
      </w:r>
      <w:r w:rsidR="00C86662" w:rsidRPr="00885434">
        <w:rPr>
          <w:szCs w:val="20"/>
        </w:rPr>
        <w:t>/100 km</w:t>
      </w:r>
      <w:r w:rsidR="00C86662" w:rsidRPr="00885434">
        <w:rPr>
          <w:szCs w:val="20"/>
          <w:vertAlign w:val="superscript"/>
        </w:rPr>
        <w:t>2</w:t>
      </w:r>
      <w:r w:rsidR="00C86662" w:rsidRPr="00885434">
        <w:rPr>
          <w:szCs w:val="20"/>
        </w:rPr>
        <w:t xml:space="preserve">) </w:t>
      </w:r>
      <w:r w:rsidRPr="00885434">
        <w:rPr>
          <w:szCs w:val="20"/>
        </w:rPr>
        <w:t>dostępna dla</w:t>
      </w:r>
      <w:r w:rsidR="00C86662" w:rsidRPr="00885434">
        <w:rPr>
          <w:szCs w:val="20"/>
        </w:rPr>
        <w:t xml:space="preserve"> 40% mieszkańc</w:t>
      </w:r>
      <w:r w:rsidRPr="00885434">
        <w:rPr>
          <w:szCs w:val="20"/>
        </w:rPr>
        <w:t xml:space="preserve">ów </w:t>
      </w:r>
      <w:r w:rsidR="0068086D">
        <w:rPr>
          <w:szCs w:val="20"/>
        </w:rPr>
        <w:br/>
      </w:r>
      <w:r w:rsidRPr="00885434">
        <w:rPr>
          <w:szCs w:val="20"/>
        </w:rPr>
        <w:t>(w województwie dla 60%)</w:t>
      </w:r>
      <w:r w:rsidR="00C86662" w:rsidRPr="00885434">
        <w:rPr>
          <w:szCs w:val="20"/>
        </w:rPr>
        <w:t>.</w:t>
      </w:r>
      <w:r w:rsidRPr="00885434">
        <w:rPr>
          <w:szCs w:val="20"/>
        </w:rPr>
        <w:t xml:space="preserve"> W mieście z sieci kanalizacyjnej korzysta prawie 70% ludności, natomiast na obszarach wiejskich gminy zaledwie 12%.</w:t>
      </w:r>
      <w:r w:rsidR="000D3DC4" w:rsidRPr="00885434">
        <w:rPr>
          <w:szCs w:val="20"/>
        </w:rPr>
        <w:t xml:space="preserve"> Długość czynnej sieci kanalizacyjnej w 2010 r. wynosiła 40 km</w:t>
      </w:r>
      <w:r w:rsidR="0007657E" w:rsidRPr="00885434">
        <w:rPr>
          <w:szCs w:val="20"/>
        </w:rPr>
        <w:t xml:space="preserve">. </w:t>
      </w:r>
      <w:r w:rsidR="000667AD" w:rsidRPr="00885434">
        <w:rPr>
          <w:szCs w:val="20"/>
        </w:rPr>
        <w:t xml:space="preserve">Należy zaznaczyć iż trwają systematyczne prace nad skanalizowaniem miasta. W miejscach nie objętych kanalizacją ścieki gromadzone są w zbiornikach bezodpływowych. </w:t>
      </w:r>
      <w:r w:rsidR="0007657E" w:rsidRPr="00885434">
        <w:rPr>
          <w:szCs w:val="20"/>
        </w:rPr>
        <w:t xml:space="preserve">Liczba połączeń </w:t>
      </w:r>
      <w:r w:rsidR="0007657E" w:rsidRPr="00885434">
        <w:rPr>
          <w:szCs w:val="20"/>
        </w:rPr>
        <w:lastRenderedPageBreak/>
        <w:t>prowadzących do budynków w latach 2002-2010 wzrosła ponad trzykrotnie, a liczba ludności korzystającej z sieci kanalizacyjnej o 60%. W 20</w:t>
      </w:r>
      <w:r w:rsidR="0085550C">
        <w:rPr>
          <w:szCs w:val="20"/>
        </w:rPr>
        <w:t>10</w:t>
      </w:r>
      <w:r w:rsidR="0007657E" w:rsidRPr="00885434">
        <w:rPr>
          <w:szCs w:val="20"/>
        </w:rPr>
        <w:t xml:space="preserve"> r. odprowadzono 2</w:t>
      </w:r>
      <w:r w:rsidR="0085550C">
        <w:rPr>
          <w:szCs w:val="20"/>
        </w:rPr>
        <w:t>52</w:t>
      </w:r>
      <w:r w:rsidR="0007657E" w:rsidRPr="00885434">
        <w:rPr>
          <w:szCs w:val="20"/>
        </w:rPr>
        <w:t xml:space="preserve"> dam</w:t>
      </w:r>
      <w:r w:rsidR="0007657E" w:rsidRPr="00885434">
        <w:rPr>
          <w:szCs w:val="20"/>
          <w:vertAlign w:val="superscript"/>
        </w:rPr>
        <w:t>3</w:t>
      </w:r>
      <w:r w:rsidR="0007657E" w:rsidRPr="00885434">
        <w:rPr>
          <w:szCs w:val="20"/>
        </w:rPr>
        <w:t xml:space="preserve"> ścieków, tj. o </w:t>
      </w:r>
      <w:r w:rsidR="0085550C">
        <w:rPr>
          <w:szCs w:val="20"/>
        </w:rPr>
        <w:t>76</w:t>
      </w:r>
      <w:r w:rsidR="0007657E" w:rsidRPr="00885434">
        <w:rPr>
          <w:szCs w:val="20"/>
        </w:rPr>
        <w:t>% więcej niż w roku 2002.</w:t>
      </w:r>
    </w:p>
    <w:p w:rsidR="009937D1" w:rsidRPr="00885434" w:rsidRDefault="009937D1" w:rsidP="007D602E">
      <w:pPr>
        <w:spacing w:before="60" w:after="60"/>
        <w:jc w:val="both"/>
        <w:rPr>
          <w:szCs w:val="20"/>
        </w:rPr>
      </w:pPr>
      <w:r w:rsidRPr="009937D1">
        <w:rPr>
          <w:szCs w:val="20"/>
        </w:rPr>
        <w:t xml:space="preserve">W zestawieniu z gminami aglomeracji poznańskiej Pobiedziska plasują się na 14 pozycji pod względem udziału ludności korzystającej z sieci wodociągowej. Wysoki udział korzystających </w:t>
      </w:r>
      <w:r w:rsidR="0068086D">
        <w:rPr>
          <w:szCs w:val="20"/>
        </w:rPr>
        <w:br/>
      </w:r>
      <w:r w:rsidRPr="009937D1">
        <w:rPr>
          <w:szCs w:val="20"/>
        </w:rPr>
        <w:t>z instalacji gazowej plasuje Pobiedziska na 8 pozycji wśród 21 porównywanych gmin. Natomiast ze względu na niski stopień skanalizowania gmina zajmuje 17 pozycję na 21 analizowanych gmin.</w:t>
      </w:r>
    </w:p>
    <w:p w:rsidR="00CA1AF8" w:rsidRPr="007D602E" w:rsidRDefault="00A5288D" w:rsidP="00885434">
      <w:pPr>
        <w:pStyle w:val="Legenda"/>
        <w:spacing w:after="0"/>
        <w:rPr>
          <w:b w:val="0"/>
          <w:color w:val="auto"/>
          <w:sz w:val="20"/>
          <w:szCs w:val="20"/>
        </w:rPr>
      </w:pPr>
      <w:r w:rsidRPr="007D602E">
        <w:rPr>
          <w:b w:val="0"/>
          <w:color w:val="auto"/>
          <w:sz w:val="20"/>
          <w:szCs w:val="20"/>
        </w:rPr>
        <w:t xml:space="preserve">Wykres </w:t>
      </w:r>
      <w:r w:rsidR="00E07640" w:rsidRPr="007D602E">
        <w:rPr>
          <w:b w:val="0"/>
          <w:color w:val="auto"/>
          <w:sz w:val="20"/>
          <w:szCs w:val="20"/>
        </w:rPr>
        <w:fldChar w:fldCharType="begin"/>
      </w:r>
      <w:r w:rsidRPr="007D602E">
        <w:rPr>
          <w:b w:val="0"/>
          <w:color w:val="auto"/>
          <w:sz w:val="20"/>
          <w:szCs w:val="20"/>
        </w:rPr>
        <w:instrText xml:space="preserve"> SEQ Wykres \* ARABIC </w:instrText>
      </w:r>
      <w:r w:rsidR="00E07640" w:rsidRPr="007D602E">
        <w:rPr>
          <w:b w:val="0"/>
          <w:color w:val="auto"/>
          <w:sz w:val="20"/>
          <w:szCs w:val="20"/>
        </w:rPr>
        <w:fldChar w:fldCharType="separate"/>
      </w:r>
      <w:r w:rsidR="00D540D9">
        <w:rPr>
          <w:b w:val="0"/>
          <w:noProof/>
          <w:color w:val="auto"/>
          <w:sz w:val="20"/>
          <w:szCs w:val="20"/>
        </w:rPr>
        <w:t>16</w:t>
      </w:r>
      <w:r w:rsidR="00E07640" w:rsidRPr="007D602E">
        <w:rPr>
          <w:b w:val="0"/>
          <w:color w:val="auto"/>
          <w:sz w:val="20"/>
          <w:szCs w:val="20"/>
        </w:rPr>
        <w:fldChar w:fldCharType="end"/>
      </w:r>
      <w:r w:rsidRPr="007D602E">
        <w:rPr>
          <w:b w:val="0"/>
          <w:color w:val="auto"/>
          <w:sz w:val="20"/>
          <w:szCs w:val="20"/>
        </w:rPr>
        <w:t>.</w:t>
      </w:r>
    </w:p>
    <w:p w:rsidR="009D6EAB" w:rsidRPr="00885434" w:rsidRDefault="009D6EAB" w:rsidP="00885434">
      <w:pPr>
        <w:spacing w:after="0"/>
      </w:pPr>
      <w:r w:rsidRPr="00885434">
        <w:rPr>
          <w:noProof/>
        </w:rPr>
        <w:drawing>
          <wp:inline distT="0" distB="0" distL="0" distR="0">
            <wp:extent cx="3400662" cy="5199321"/>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E14DC7" w:rsidRPr="00E14DC7">
        <w:rPr>
          <w:noProof/>
        </w:rPr>
        <w:t xml:space="preserve"> </w:t>
      </w:r>
      <w:r w:rsidR="00E14DC7" w:rsidRPr="00E14DC7">
        <w:rPr>
          <w:noProof/>
        </w:rPr>
        <w:drawing>
          <wp:inline distT="0" distB="0" distL="0" distR="0">
            <wp:extent cx="2213787" cy="5209954"/>
            <wp:effectExtent l="0" t="0" r="0" b="0"/>
            <wp:docPr id="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D6EAB" w:rsidRPr="007D602E" w:rsidRDefault="00D40AAE">
      <w:pPr>
        <w:rPr>
          <w:sz w:val="20"/>
          <w:szCs w:val="20"/>
        </w:rPr>
      </w:pPr>
      <w:r w:rsidRPr="007D602E">
        <w:rPr>
          <w:sz w:val="20"/>
          <w:szCs w:val="20"/>
        </w:rPr>
        <w:t>Źródło: opracowanie własne na podstawie danych GUS.</w:t>
      </w:r>
    </w:p>
    <w:p w:rsidR="00EE3A52" w:rsidRPr="00885434" w:rsidRDefault="00EE3A52" w:rsidP="007D602E">
      <w:pPr>
        <w:spacing w:before="60" w:after="60"/>
        <w:jc w:val="both"/>
      </w:pPr>
      <w:r w:rsidRPr="00885434">
        <w:t>Analizowano również poziom dostępności do instalacji sieciowych wśród wielkopolskich gmin miejsko-wiejs</w:t>
      </w:r>
      <w:r w:rsidR="00587C79" w:rsidRPr="00885434">
        <w:t>kich o porównywalnej wielkości</w:t>
      </w:r>
      <w:r w:rsidRPr="00885434">
        <w:t xml:space="preserve"> </w:t>
      </w:r>
      <w:r w:rsidR="00587C79" w:rsidRPr="00885434">
        <w:t>(</w:t>
      </w:r>
      <w:r w:rsidRPr="00885434">
        <w:t>podobnej liczbie ludności</w:t>
      </w:r>
      <w:r w:rsidR="00587C79" w:rsidRPr="00885434">
        <w:t>)</w:t>
      </w:r>
      <w:r w:rsidRPr="00885434">
        <w:t xml:space="preserve">. Gmina Pobiedziska pod względem udziału ludności korzystającej z sieci wodociągowej znajduje się na 4 pozycji wśród </w:t>
      </w:r>
      <w:r w:rsidR="0068086D">
        <w:br/>
      </w:r>
      <w:r w:rsidRPr="00885434">
        <w:t xml:space="preserve">10 analizowanych gmin. Niski udział ludności korzystającej z sieci kanalizacyjnej plasuje Pobiedziska na 7 pozycji. Natomiast wysoki poziom gazyfikacji </w:t>
      </w:r>
      <w:r w:rsidR="005346B4" w:rsidRPr="00885434">
        <w:t>odzwierciedla pierwsza pozycja Pobiedzisk wśród analizowanych gmin.</w:t>
      </w:r>
    </w:p>
    <w:p w:rsidR="00A62938" w:rsidRPr="00885434" w:rsidRDefault="00A62938" w:rsidP="007D602E">
      <w:pPr>
        <w:spacing w:before="60" w:after="0"/>
        <w:jc w:val="both"/>
        <w:rPr>
          <w:szCs w:val="20"/>
        </w:rPr>
      </w:pPr>
      <w:r w:rsidRPr="00885434">
        <w:rPr>
          <w:szCs w:val="20"/>
        </w:rPr>
        <w:t xml:space="preserve">W połowie 2011 r. podpisano umowę na realizację wielkiego projektu kanalizacyjnego obejmującego „Kanalizację obszaru Parku Krajobrazowego Puszcza Zielonka i okolic”. Przedsięwzięcie to </w:t>
      </w:r>
      <w:r w:rsidRPr="00885434">
        <w:rPr>
          <w:szCs w:val="20"/>
        </w:rPr>
        <w:lastRenderedPageBreak/>
        <w:t>współfinansowane jest przez Unię Europejską ze środków Funduszu Spójności w ramach Programu Operacyjnego Infrastruktura i Środowisko. Związek Międzygminny Puszcza Zielonka zrzesza 5 gmin:</w:t>
      </w:r>
      <w:r w:rsidR="00F50354">
        <w:rPr>
          <w:szCs w:val="20"/>
        </w:rPr>
        <w:t xml:space="preserve"> Pobiedziska, Swarzędz, Murowaną</w:t>
      </w:r>
      <w:r w:rsidRPr="00885434">
        <w:rPr>
          <w:szCs w:val="20"/>
        </w:rPr>
        <w:t xml:space="preserve"> G</w:t>
      </w:r>
      <w:r w:rsidR="00F50354">
        <w:rPr>
          <w:szCs w:val="20"/>
        </w:rPr>
        <w:t>oślinę</w:t>
      </w:r>
      <w:r w:rsidRPr="00885434">
        <w:rPr>
          <w:szCs w:val="20"/>
        </w:rPr>
        <w:t xml:space="preserve">, Czerwonak i Skoki, które wspólnie realizują projekt inwestycyjny. Cały projekt obejmuje budowę na obszarze zrzeszonych gmin kanalizacji sanitarnej, </w:t>
      </w:r>
      <w:r w:rsidR="0068086D">
        <w:rPr>
          <w:szCs w:val="20"/>
        </w:rPr>
        <w:br/>
      </w:r>
      <w:r w:rsidRPr="00885434">
        <w:rPr>
          <w:szCs w:val="20"/>
        </w:rPr>
        <w:t>w tym:</w:t>
      </w:r>
    </w:p>
    <w:p w:rsidR="00A62938" w:rsidRPr="00885434" w:rsidRDefault="00A62938" w:rsidP="00E84FFC">
      <w:pPr>
        <w:pStyle w:val="Akapitzlist"/>
        <w:numPr>
          <w:ilvl w:val="0"/>
          <w:numId w:val="3"/>
        </w:numPr>
        <w:spacing w:line="276" w:lineRule="auto"/>
        <w:ind w:left="714" w:hanging="357"/>
        <w:jc w:val="both"/>
        <w:rPr>
          <w:rFonts w:asciiTheme="minorHAnsi" w:hAnsiTheme="minorHAnsi"/>
          <w:sz w:val="22"/>
          <w:szCs w:val="20"/>
        </w:rPr>
      </w:pPr>
      <w:r w:rsidRPr="00885434">
        <w:rPr>
          <w:rFonts w:asciiTheme="minorHAnsi" w:hAnsiTheme="minorHAnsi"/>
          <w:sz w:val="22"/>
          <w:szCs w:val="20"/>
        </w:rPr>
        <w:t>kanalizacji grawitacyjnej na długości 214,8 km,</w:t>
      </w:r>
    </w:p>
    <w:p w:rsidR="00A62938" w:rsidRPr="00885434" w:rsidRDefault="00A62938" w:rsidP="00E84FFC">
      <w:pPr>
        <w:pStyle w:val="Akapitzlist"/>
        <w:numPr>
          <w:ilvl w:val="0"/>
          <w:numId w:val="3"/>
        </w:numPr>
        <w:spacing w:line="276" w:lineRule="auto"/>
        <w:ind w:left="714" w:hanging="357"/>
        <w:jc w:val="both"/>
        <w:rPr>
          <w:rFonts w:asciiTheme="minorHAnsi" w:hAnsiTheme="minorHAnsi"/>
          <w:sz w:val="22"/>
          <w:szCs w:val="20"/>
        </w:rPr>
      </w:pPr>
      <w:r w:rsidRPr="00885434">
        <w:rPr>
          <w:rFonts w:asciiTheme="minorHAnsi" w:hAnsiTheme="minorHAnsi"/>
          <w:sz w:val="22"/>
          <w:szCs w:val="20"/>
        </w:rPr>
        <w:t>przyłączeń kanalizacyjnych na długości 35,2 km,</w:t>
      </w:r>
    </w:p>
    <w:p w:rsidR="00A62938" w:rsidRPr="00885434" w:rsidRDefault="00A62938" w:rsidP="00E84FFC">
      <w:pPr>
        <w:pStyle w:val="Akapitzlist"/>
        <w:numPr>
          <w:ilvl w:val="0"/>
          <w:numId w:val="3"/>
        </w:numPr>
        <w:spacing w:line="276" w:lineRule="auto"/>
        <w:ind w:left="714" w:hanging="357"/>
        <w:jc w:val="both"/>
        <w:rPr>
          <w:rFonts w:asciiTheme="minorHAnsi" w:hAnsiTheme="minorHAnsi"/>
          <w:sz w:val="22"/>
          <w:szCs w:val="20"/>
        </w:rPr>
      </w:pPr>
      <w:r w:rsidRPr="00885434">
        <w:rPr>
          <w:rFonts w:asciiTheme="minorHAnsi" w:hAnsiTheme="minorHAnsi"/>
          <w:sz w:val="22"/>
          <w:szCs w:val="20"/>
        </w:rPr>
        <w:t>rurociągów tłocznych na długości 118,7 km,</w:t>
      </w:r>
    </w:p>
    <w:p w:rsidR="00A62938" w:rsidRPr="00885434" w:rsidRDefault="00A62938" w:rsidP="00E84FFC">
      <w:pPr>
        <w:pStyle w:val="Akapitzlist"/>
        <w:numPr>
          <w:ilvl w:val="0"/>
          <w:numId w:val="3"/>
        </w:numPr>
        <w:spacing w:line="276" w:lineRule="auto"/>
        <w:ind w:left="714" w:hanging="357"/>
        <w:jc w:val="both"/>
        <w:rPr>
          <w:rFonts w:asciiTheme="minorHAnsi" w:hAnsiTheme="minorHAnsi"/>
          <w:sz w:val="22"/>
          <w:szCs w:val="20"/>
        </w:rPr>
      </w:pPr>
      <w:r w:rsidRPr="00885434">
        <w:rPr>
          <w:rFonts w:asciiTheme="minorHAnsi" w:hAnsiTheme="minorHAnsi"/>
          <w:sz w:val="22"/>
          <w:szCs w:val="20"/>
        </w:rPr>
        <w:t>przepompowni ścieków w liczbie 151 sztuk,</w:t>
      </w:r>
    </w:p>
    <w:p w:rsidR="00A62938" w:rsidRPr="00885434" w:rsidRDefault="00A62938" w:rsidP="00E84FFC">
      <w:pPr>
        <w:pStyle w:val="Akapitzlist"/>
        <w:numPr>
          <w:ilvl w:val="0"/>
          <w:numId w:val="3"/>
        </w:numPr>
        <w:spacing w:line="276" w:lineRule="auto"/>
        <w:ind w:left="714" w:hanging="357"/>
        <w:jc w:val="both"/>
        <w:rPr>
          <w:rFonts w:asciiTheme="minorHAnsi" w:hAnsiTheme="minorHAnsi"/>
          <w:sz w:val="22"/>
          <w:szCs w:val="20"/>
        </w:rPr>
      </w:pPr>
      <w:r w:rsidRPr="00885434">
        <w:rPr>
          <w:rFonts w:asciiTheme="minorHAnsi" w:hAnsiTheme="minorHAnsi"/>
          <w:sz w:val="22"/>
          <w:szCs w:val="20"/>
        </w:rPr>
        <w:t>likwidację istniejących dwóch oczyszczalni ściek</w:t>
      </w:r>
      <w:r w:rsidR="00F50354">
        <w:rPr>
          <w:rFonts w:asciiTheme="minorHAnsi" w:hAnsiTheme="minorHAnsi"/>
          <w:sz w:val="22"/>
          <w:szCs w:val="20"/>
        </w:rPr>
        <w:t>ów w Skokach i w Pobiedziskach oraz</w:t>
      </w:r>
      <w:r w:rsidRPr="00885434">
        <w:rPr>
          <w:rFonts w:asciiTheme="minorHAnsi" w:hAnsiTheme="minorHAnsi"/>
          <w:sz w:val="22"/>
          <w:szCs w:val="20"/>
        </w:rPr>
        <w:t xml:space="preserve"> ich przystosowanie do funkcjonowania wyłącznie jako przepompowni ścieków.</w:t>
      </w:r>
    </w:p>
    <w:p w:rsidR="00504810" w:rsidRPr="00885434" w:rsidRDefault="002601A5" w:rsidP="007D602E">
      <w:pPr>
        <w:autoSpaceDE w:val="0"/>
        <w:autoSpaceDN w:val="0"/>
        <w:adjustRightInd w:val="0"/>
        <w:spacing w:before="60" w:after="60"/>
        <w:jc w:val="both"/>
        <w:rPr>
          <w:rFonts w:cs="ACaslonPro-Regular"/>
        </w:rPr>
      </w:pPr>
      <w:r w:rsidRPr="00885434">
        <w:rPr>
          <w:rFonts w:cs="ACaslonPro-Regular"/>
        </w:rPr>
        <w:t xml:space="preserve">Zakres projektu na terenie gminy Pobiedziska obejmuje wykonanie 105,2 km sieci kanalizacyjnej, </w:t>
      </w:r>
      <w:r w:rsidR="0068086D">
        <w:rPr>
          <w:rFonts w:cs="ACaslonPro-Regular"/>
        </w:rPr>
        <w:br/>
      </w:r>
      <w:r w:rsidRPr="00885434">
        <w:rPr>
          <w:rFonts w:cs="ACaslonPro-Regular"/>
        </w:rPr>
        <w:t>54 przepompownie, 1 punkt zlewczy</w:t>
      </w:r>
      <w:r w:rsidR="00CD2834">
        <w:rPr>
          <w:rFonts w:cs="ACaslonPro-Regular"/>
        </w:rPr>
        <w:t>, 2375 przyłączy</w:t>
      </w:r>
      <w:r w:rsidRPr="00885434">
        <w:rPr>
          <w:rFonts w:cs="ACaslonPro-Regular"/>
        </w:rPr>
        <w:t>.</w:t>
      </w:r>
      <w:r w:rsidR="007D602E">
        <w:rPr>
          <w:rFonts w:cs="ACaslonPro-Regular"/>
        </w:rPr>
        <w:t xml:space="preserve"> </w:t>
      </w:r>
      <w:r w:rsidR="00A62938" w:rsidRPr="00885434">
        <w:rPr>
          <w:rFonts w:cs="ACaslonPro-Regular"/>
        </w:rPr>
        <w:t>Dzięki projektowi, do nowo wybudowanej sieci podłączonych zostanie ponad 40 tys. mieszkańców stałych i sezonowych</w:t>
      </w:r>
      <w:r w:rsidR="00BC5B54">
        <w:rPr>
          <w:rFonts w:cs="ACaslonPro-Regular"/>
        </w:rPr>
        <w:t xml:space="preserve"> </w:t>
      </w:r>
      <w:r w:rsidR="00BC5B54" w:rsidRPr="00590660">
        <w:rPr>
          <w:rFonts w:cs="ACaslonPro-Regular"/>
        </w:rPr>
        <w:t>(na obszarze całego Związku)</w:t>
      </w:r>
      <w:r w:rsidR="00A62938" w:rsidRPr="00590660">
        <w:rPr>
          <w:rFonts w:cs="ACaslonPro-Regular"/>
        </w:rPr>
        <w:t>.</w:t>
      </w:r>
      <w:r w:rsidR="00A62938" w:rsidRPr="00885434">
        <w:rPr>
          <w:rFonts w:cs="ACaslonPro-Regular"/>
        </w:rPr>
        <w:t xml:space="preserve"> Na terenie gmin objętych projekt</w:t>
      </w:r>
      <w:r w:rsidR="009C3161" w:rsidRPr="00885434">
        <w:rPr>
          <w:rFonts w:cs="ACaslonPro-Regular"/>
        </w:rPr>
        <w:t>em osiągnięty zostanie ponad 80%</w:t>
      </w:r>
      <w:r w:rsidR="00A62938" w:rsidRPr="00885434">
        <w:rPr>
          <w:rFonts w:cs="ACaslonPro-Regular"/>
        </w:rPr>
        <w:t xml:space="preserve"> poziom skanalizow</w:t>
      </w:r>
      <w:r w:rsidR="009C3161" w:rsidRPr="00885434">
        <w:rPr>
          <w:rFonts w:cs="ACaslonPro-Regular"/>
        </w:rPr>
        <w:t>ania (obecnie to nieco ponad 50</w:t>
      </w:r>
      <w:r w:rsidR="00A62938" w:rsidRPr="00885434">
        <w:rPr>
          <w:rFonts w:cs="ACaslonPro-Regular"/>
        </w:rPr>
        <w:t xml:space="preserve">%). Nadrzędnym celem przedsięwzięcia jest zapewnienie ochrony zasobów przyrodniczych i środowiskowych Parku Krajobrazowego Puszcza Zielonka wraz z otuliną </w:t>
      </w:r>
      <w:r w:rsidR="00CD2834">
        <w:rPr>
          <w:rFonts w:cs="ACaslonPro-Regular"/>
        </w:rPr>
        <w:br/>
      </w:r>
      <w:r w:rsidR="00A62938" w:rsidRPr="00885434">
        <w:rPr>
          <w:rFonts w:cs="ACaslonPro-Regular"/>
        </w:rPr>
        <w:t>i terenami przyległymi.</w:t>
      </w:r>
    </w:p>
    <w:p w:rsidR="00E11A3C" w:rsidRPr="007D602E" w:rsidRDefault="00E11A3C" w:rsidP="00024447">
      <w:pPr>
        <w:pStyle w:val="Legenda"/>
        <w:spacing w:after="0"/>
        <w:rPr>
          <w:rFonts w:cs="ACaslonPro-Regular"/>
          <w:b w:val="0"/>
          <w:color w:val="auto"/>
          <w:sz w:val="20"/>
          <w:szCs w:val="20"/>
        </w:rPr>
      </w:pPr>
      <w:r w:rsidRPr="007D602E">
        <w:rPr>
          <w:b w:val="0"/>
          <w:color w:val="auto"/>
          <w:sz w:val="20"/>
          <w:szCs w:val="20"/>
        </w:rPr>
        <w:t xml:space="preserve">Rysunek </w:t>
      </w:r>
      <w:r w:rsidR="00E07640" w:rsidRPr="007D602E">
        <w:rPr>
          <w:b w:val="0"/>
          <w:color w:val="auto"/>
          <w:sz w:val="20"/>
          <w:szCs w:val="20"/>
        </w:rPr>
        <w:fldChar w:fldCharType="begin"/>
      </w:r>
      <w:r w:rsidRPr="007D602E">
        <w:rPr>
          <w:b w:val="0"/>
          <w:color w:val="auto"/>
          <w:sz w:val="20"/>
          <w:szCs w:val="20"/>
        </w:rPr>
        <w:instrText xml:space="preserve"> SEQ Rysunek \* ARABIC </w:instrText>
      </w:r>
      <w:r w:rsidR="00E07640" w:rsidRPr="007D602E">
        <w:rPr>
          <w:b w:val="0"/>
          <w:color w:val="auto"/>
          <w:sz w:val="20"/>
          <w:szCs w:val="20"/>
        </w:rPr>
        <w:fldChar w:fldCharType="separate"/>
      </w:r>
      <w:r w:rsidR="00782286">
        <w:rPr>
          <w:b w:val="0"/>
          <w:noProof/>
          <w:color w:val="auto"/>
          <w:sz w:val="20"/>
          <w:szCs w:val="20"/>
        </w:rPr>
        <w:t>1</w:t>
      </w:r>
      <w:r w:rsidR="00E07640" w:rsidRPr="007D602E">
        <w:rPr>
          <w:b w:val="0"/>
          <w:color w:val="auto"/>
          <w:sz w:val="20"/>
          <w:szCs w:val="20"/>
        </w:rPr>
        <w:fldChar w:fldCharType="end"/>
      </w:r>
      <w:r w:rsidRPr="007D602E">
        <w:rPr>
          <w:b w:val="0"/>
          <w:color w:val="auto"/>
          <w:sz w:val="20"/>
          <w:szCs w:val="20"/>
        </w:rPr>
        <w:t xml:space="preserve">. </w:t>
      </w:r>
      <w:r w:rsidRPr="007D602E">
        <w:rPr>
          <w:rFonts w:cs="ACaslonPro-Regular"/>
          <w:b w:val="0"/>
          <w:color w:val="auto"/>
          <w:sz w:val="20"/>
          <w:szCs w:val="20"/>
        </w:rPr>
        <w:t xml:space="preserve">Mapka inwestycji </w:t>
      </w:r>
      <w:r w:rsidR="0022048D" w:rsidRPr="007D602E">
        <w:rPr>
          <w:rFonts w:cs="ACaslonPro-Regular"/>
          <w:b w:val="0"/>
          <w:color w:val="auto"/>
          <w:sz w:val="20"/>
          <w:szCs w:val="20"/>
        </w:rPr>
        <w:t xml:space="preserve">kanalizacyjnej </w:t>
      </w:r>
      <w:r w:rsidRPr="007D602E">
        <w:rPr>
          <w:rFonts w:cs="ACaslonPro-Regular"/>
          <w:b w:val="0"/>
          <w:color w:val="auto"/>
          <w:sz w:val="20"/>
          <w:szCs w:val="20"/>
        </w:rPr>
        <w:t>dla gminy Pobiedziska.</w:t>
      </w:r>
    </w:p>
    <w:p w:rsidR="00CD2834" w:rsidRDefault="00CD2834" w:rsidP="00F50354">
      <w:pPr>
        <w:autoSpaceDE w:val="0"/>
        <w:autoSpaceDN w:val="0"/>
        <w:adjustRightInd w:val="0"/>
        <w:spacing w:after="0"/>
        <w:rPr>
          <w:rFonts w:cs="ACaslonPro-Regular"/>
          <w:sz w:val="20"/>
          <w:szCs w:val="20"/>
        </w:rPr>
      </w:pPr>
      <w:r>
        <w:rPr>
          <w:rFonts w:cs="ACaslonPro-Regular"/>
          <w:noProof/>
          <w:sz w:val="20"/>
          <w:szCs w:val="20"/>
        </w:rPr>
        <w:drawing>
          <wp:inline distT="0" distB="0" distL="0" distR="0">
            <wp:extent cx="5233434" cy="4722898"/>
            <wp:effectExtent l="19050" t="0" r="5316" b="0"/>
            <wp:docPr id="48" name="Obraz 47" descr="kanalizacja-pobiedzi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lizacja-pobiedziska.jpg"/>
                    <pic:cNvPicPr/>
                  </pic:nvPicPr>
                  <pic:blipFill>
                    <a:blip r:embed="rId28"/>
                    <a:stretch>
                      <a:fillRect/>
                    </a:stretch>
                  </pic:blipFill>
                  <pic:spPr>
                    <a:xfrm>
                      <a:off x="0" y="0"/>
                      <a:ext cx="5232854" cy="4722375"/>
                    </a:xfrm>
                    <a:prstGeom prst="rect">
                      <a:avLst/>
                    </a:prstGeom>
                  </pic:spPr>
                </pic:pic>
              </a:graphicData>
            </a:graphic>
          </wp:inline>
        </w:drawing>
      </w:r>
    </w:p>
    <w:p w:rsidR="00E11A3C" w:rsidRPr="007D602E" w:rsidRDefault="00E11A3C" w:rsidP="00F50354">
      <w:pPr>
        <w:autoSpaceDE w:val="0"/>
        <w:autoSpaceDN w:val="0"/>
        <w:adjustRightInd w:val="0"/>
        <w:spacing w:after="0"/>
        <w:rPr>
          <w:rFonts w:cs="ACaslonPro-Regular"/>
          <w:sz w:val="20"/>
          <w:szCs w:val="20"/>
        </w:rPr>
      </w:pPr>
      <w:r w:rsidRPr="007D602E">
        <w:rPr>
          <w:rFonts w:cs="ACaslonPro-Regular"/>
          <w:sz w:val="20"/>
          <w:szCs w:val="20"/>
        </w:rPr>
        <w:t>Źródło: http://www.puszcza-zielonka.pl/kanalizacja/realizacja.html</w:t>
      </w:r>
    </w:p>
    <w:p w:rsidR="00504810" w:rsidRPr="00885434" w:rsidRDefault="00504810" w:rsidP="007D602E">
      <w:pPr>
        <w:pStyle w:val="WW-Lista2"/>
        <w:spacing w:before="60" w:after="60" w:line="276" w:lineRule="auto"/>
        <w:ind w:left="0" w:firstLine="0"/>
        <w:jc w:val="both"/>
        <w:rPr>
          <w:rFonts w:asciiTheme="minorHAnsi" w:hAnsiTheme="minorHAnsi"/>
          <w:sz w:val="22"/>
          <w:szCs w:val="22"/>
        </w:rPr>
      </w:pPr>
      <w:r w:rsidRPr="00885434">
        <w:rPr>
          <w:rFonts w:asciiTheme="minorHAnsi" w:hAnsiTheme="minorHAnsi"/>
          <w:sz w:val="22"/>
          <w:szCs w:val="22"/>
        </w:rPr>
        <w:lastRenderedPageBreak/>
        <w:t>Miasto i gmina nie posiada</w:t>
      </w:r>
      <w:r w:rsidR="00F50354">
        <w:rPr>
          <w:rFonts w:asciiTheme="minorHAnsi" w:hAnsiTheme="minorHAnsi"/>
          <w:sz w:val="22"/>
          <w:szCs w:val="22"/>
        </w:rPr>
        <w:t>ją</w:t>
      </w:r>
      <w:r w:rsidRPr="00885434">
        <w:rPr>
          <w:rFonts w:asciiTheme="minorHAnsi" w:hAnsiTheme="minorHAnsi"/>
          <w:sz w:val="22"/>
          <w:szCs w:val="22"/>
        </w:rPr>
        <w:t xml:space="preserve"> zbiorczych kotłowni cieplnych.</w:t>
      </w:r>
      <w:r w:rsidR="007B4B72" w:rsidRPr="00885434">
        <w:rPr>
          <w:rFonts w:asciiTheme="minorHAnsi" w:hAnsiTheme="minorHAnsi"/>
          <w:sz w:val="22"/>
          <w:szCs w:val="22"/>
        </w:rPr>
        <w:t xml:space="preserve"> </w:t>
      </w:r>
      <w:r w:rsidRPr="00885434">
        <w:rPr>
          <w:rFonts w:asciiTheme="minorHAnsi" w:hAnsiTheme="minorHAnsi"/>
          <w:sz w:val="22"/>
          <w:szCs w:val="22"/>
        </w:rPr>
        <w:t>Każdy obiekt użyteczności publicznej posiada kotłownię indywidualną (</w:t>
      </w:r>
      <w:r w:rsidR="006F1525" w:rsidRPr="00F40595">
        <w:rPr>
          <w:rFonts w:asciiTheme="minorHAnsi" w:hAnsiTheme="minorHAnsi"/>
          <w:sz w:val="22"/>
          <w:szCs w:val="22"/>
        </w:rPr>
        <w:t>ogrzewanie gazowe,</w:t>
      </w:r>
      <w:r w:rsidRPr="00F40595">
        <w:rPr>
          <w:rFonts w:asciiTheme="minorHAnsi" w:hAnsiTheme="minorHAnsi"/>
          <w:sz w:val="22"/>
          <w:szCs w:val="22"/>
        </w:rPr>
        <w:t xml:space="preserve"> olejowe</w:t>
      </w:r>
      <w:r w:rsidR="006F1525" w:rsidRPr="00F40595">
        <w:rPr>
          <w:rFonts w:asciiTheme="minorHAnsi" w:hAnsiTheme="minorHAnsi"/>
          <w:sz w:val="22"/>
          <w:szCs w:val="22"/>
        </w:rPr>
        <w:t>, pompy ciepła, palety</w:t>
      </w:r>
      <w:r w:rsidRPr="00F40595">
        <w:rPr>
          <w:rFonts w:asciiTheme="minorHAnsi" w:hAnsiTheme="minorHAnsi"/>
          <w:sz w:val="22"/>
          <w:szCs w:val="22"/>
        </w:rPr>
        <w:t>).</w:t>
      </w:r>
      <w:r w:rsidR="007B4B72" w:rsidRPr="00885434">
        <w:rPr>
          <w:rFonts w:asciiTheme="minorHAnsi" w:hAnsiTheme="minorHAnsi"/>
          <w:sz w:val="22"/>
          <w:szCs w:val="22"/>
        </w:rPr>
        <w:t xml:space="preserve"> </w:t>
      </w:r>
      <w:r w:rsidRPr="00885434">
        <w:rPr>
          <w:rFonts w:asciiTheme="minorHAnsi" w:hAnsiTheme="minorHAnsi"/>
          <w:sz w:val="22"/>
          <w:szCs w:val="22"/>
        </w:rPr>
        <w:t>Mieszkańcy miasta i gminy również korzystają z kotłowni indywidualnych.</w:t>
      </w:r>
    </w:p>
    <w:p w:rsidR="00FE5A94" w:rsidRPr="00885434" w:rsidRDefault="00F21271" w:rsidP="007D602E">
      <w:pPr>
        <w:pStyle w:val="Lista"/>
        <w:spacing w:before="60" w:after="60" w:line="276" w:lineRule="auto"/>
        <w:ind w:left="0" w:firstLine="0"/>
        <w:jc w:val="both"/>
        <w:rPr>
          <w:rFonts w:asciiTheme="minorHAnsi" w:hAnsiTheme="minorHAnsi"/>
          <w:sz w:val="22"/>
          <w:szCs w:val="22"/>
        </w:rPr>
      </w:pPr>
      <w:r w:rsidRPr="00885434">
        <w:rPr>
          <w:rFonts w:asciiTheme="minorHAnsi" w:hAnsiTheme="minorHAnsi"/>
          <w:sz w:val="22"/>
          <w:szCs w:val="22"/>
        </w:rPr>
        <w:t>Zaopatrzenie w energię energetyczną zapewnia linia 110 KV Czerwonak-Gniezno za pośrednictwem stacji energetycznej GPZ 110/15 w Pomarzanowicach. Linia 110 KV przebiega w rejonie wsi Kołata, Złotniczki, Pomarzanowice, Kocanowo.</w:t>
      </w:r>
    </w:p>
    <w:p w:rsidR="007359A2" w:rsidRPr="00885434" w:rsidRDefault="007359A2" w:rsidP="007D602E">
      <w:pPr>
        <w:pStyle w:val="Domylnie"/>
        <w:spacing w:before="60" w:after="60" w:line="276" w:lineRule="auto"/>
        <w:jc w:val="both"/>
        <w:rPr>
          <w:rFonts w:asciiTheme="minorHAnsi" w:hAnsiTheme="minorHAnsi"/>
          <w:sz w:val="22"/>
          <w:szCs w:val="22"/>
        </w:rPr>
      </w:pPr>
      <w:r w:rsidRPr="00885434">
        <w:rPr>
          <w:rFonts w:asciiTheme="minorHAnsi" w:hAnsiTheme="minorHAnsi"/>
          <w:sz w:val="22"/>
          <w:szCs w:val="22"/>
        </w:rPr>
        <w:t>W latach 2002-2009 systematycznie wzrastało zużycie energii elektrycznej w gospodarstwach domowych w miastach na 1 mieszkańca, w stosunku do 2002 r. wzrosło ono o 18%. Liczba odbiorców energii elektrycznej wzrosła w tym okresie o ok. 10%.</w:t>
      </w:r>
    </w:p>
    <w:p w:rsidR="007B4B72" w:rsidRPr="00885434" w:rsidRDefault="007B4B72" w:rsidP="007D602E">
      <w:pPr>
        <w:pStyle w:val="Domylnie"/>
        <w:spacing w:before="60" w:after="60" w:line="276" w:lineRule="auto"/>
        <w:jc w:val="both"/>
        <w:rPr>
          <w:rFonts w:asciiTheme="minorHAnsi" w:hAnsiTheme="minorHAnsi"/>
          <w:sz w:val="22"/>
          <w:szCs w:val="22"/>
        </w:rPr>
      </w:pPr>
      <w:r w:rsidRPr="00885434">
        <w:rPr>
          <w:rFonts w:asciiTheme="minorHAnsi" w:hAnsiTheme="minorHAnsi"/>
          <w:sz w:val="22"/>
          <w:szCs w:val="22"/>
        </w:rPr>
        <w:t xml:space="preserve">Na terenie gminy Pobiedziska znajdują się dwie oczyszczalnie ścieków, zlokalizowane </w:t>
      </w:r>
      <w:r w:rsidR="0068086D">
        <w:rPr>
          <w:rFonts w:asciiTheme="minorHAnsi" w:hAnsiTheme="minorHAnsi"/>
          <w:sz w:val="22"/>
          <w:szCs w:val="22"/>
        </w:rPr>
        <w:br/>
      </w:r>
      <w:r w:rsidRPr="00885434">
        <w:rPr>
          <w:rFonts w:asciiTheme="minorHAnsi" w:hAnsiTheme="minorHAnsi"/>
          <w:sz w:val="22"/>
          <w:szCs w:val="22"/>
        </w:rPr>
        <w:t xml:space="preserve">w miejscowościach </w:t>
      </w:r>
      <w:r w:rsidRPr="00F40595">
        <w:rPr>
          <w:rFonts w:asciiTheme="minorHAnsi" w:hAnsiTheme="minorHAnsi"/>
          <w:sz w:val="22"/>
          <w:szCs w:val="22"/>
        </w:rPr>
        <w:t>Kociałkowa Gór</w:t>
      </w:r>
      <w:r w:rsidR="00D67E25" w:rsidRPr="00F40595">
        <w:rPr>
          <w:rFonts w:asciiTheme="minorHAnsi" w:hAnsiTheme="minorHAnsi"/>
          <w:sz w:val="22"/>
          <w:szCs w:val="22"/>
        </w:rPr>
        <w:t>k</w:t>
      </w:r>
      <w:r w:rsidRPr="00F40595">
        <w:rPr>
          <w:rFonts w:asciiTheme="minorHAnsi" w:hAnsiTheme="minorHAnsi"/>
          <w:sz w:val="22"/>
          <w:szCs w:val="22"/>
        </w:rPr>
        <w:t>a</w:t>
      </w:r>
      <w:r w:rsidRPr="00885434">
        <w:rPr>
          <w:rFonts w:asciiTheme="minorHAnsi" w:hAnsiTheme="minorHAnsi"/>
          <w:sz w:val="22"/>
          <w:szCs w:val="22"/>
        </w:rPr>
        <w:t xml:space="preserve"> oraz Nadrożno. Obiektami oczyszczalni zarządza Zakład</w:t>
      </w:r>
      <w:r w:rsidR="00F21271" w:rsidRPr="00885434">
        <w:rPr>
          <w:rFonts w:asciiTheme="minorHAnsi" w:hAnsiTheme="minorHAnsi"/>
          <w:sz w:val="22"/>
          <w:szCs w:val="22"/>
        </w:rPr>
        <w:t xml:space="preserve"> </w:t>
      </w:r>
      <w:r w:rsidRPr="00885434">
        <w:rPr>
          <w:rFonts w:asciiTheme="minorHAnsi" w:hAnsiTheme="minorHAnsi"/>
          <w:sz w:val="22"/>
          <w:szCs w:val="22"/>
        </w:rPr>
        <w:t>Komunalny w Pobiedziskach. Oczyszczalnia miejska zlokalizowana w pó</w:t>
      </w:r>
      <w:r w:rsidR="00D05586" w:rsidRPr="00885434">
        <w:rPr>
          <w:rFonts w:asciiTheme="minorHAnsi" w:hAnsiTheme="minorHAnsi"/>
          <w:sz w:val="22"/>
          <w:szCs w:val="22"/>
        </w:rPr>
        <w:t>łnocno-zachodniej części miasta</w:t>
      </w:r>
      <w:r w:rsidRPr="00885434">
        <w:rPr>
          <w:rFonts w:asciiTheme="minorHAnsi" w:hAnsiTheme="minorHAnsi"/>
          <w:sz w:val="22"/>
          <w:szCs w:val="22"/>
        </w:rPr>
        <w:t xml:space="preserve"> </w:t>
      </w:r>
      <w:r w:rsidR="00584757">
        <w:rPr>
          <w:rFonts w:asciiTheme="minorHAnsi" w:hAnsiTheme="minorHAnsi"/>
          <w:sz w:val="22"/>
          <w:szCs w:val="22"/>
        </w:rPr>
        <w:t>z</w:t>
      </w:r>
      <w:r w:rsidR="00584757" w:rsidRPr="00584757">
        <w:rPr>
          <w:rFonts w:asciiTheme="minorHAnsi" w:hAnsiTheme="minorHAnsi"/>
          <w:sz w:val="22"/>
          <w:szCs w:val="22"/>
        </w:rPr>
        <w:t xml:space="preserve">godnie z opracowaną w 2003 </w:t>
      </w:r>
      <w:r w:rsidR="0085550C">
        <w:rPr>
          <w:rFonts w:asciiTheme="minorHAnsi" w:hAnsiTheme="minorHAnsi"/>
          <w:sz w:val="22"/>
          <w:szCs w:val="22"/>
        </w:rPr>
        <w:t xml:space="preserve">r. </w:t>
      </w:r>
      <w:r w:rsidR="00584757" w:rsidRPr="00584757">
        <w:rPr>
          <w:rFonts w:asciiTheme="minorHAnsi" w:hAnsiTheme="minorHAnsi"/>
          <w:sz w:val="22"/>
          <w:szCs w:val="22"/>
        </w:rPr>
        <w:t xml:space="preserve">koncepcją budowy sieci kanalizacyjnej </w:t>
      </w:r>
      <w:r w:rsidR="0068086D">
        <w:rPr>
          <w:rFonts w:asciiTheme="minorHAnsi" w:hAnsiTheme="minorHAnsi"/>
          <w:sz w:val="22"/>
          <w:szCs w:val="22"/>
        </w:rPr>
        <w:br/>
      </w:r>
      <w:r w:rsidR="00584757" w:rsidRPr="00584757">
        <w:rPr>
          <w:rFonts w:asciiTheme="minorHAnsi" w:hAnsiTheme="minorHAnsi"/>
          <w:sz w:val="22"/>
          <w:szCs w:val="22"/>
        </w:rPr>
        <w:t>i przygotowywanym projektem w ramach Związku Międzygminnego „Puszcza Zielonka” jest przewidziana do likwidacji i zmiany jej funkcji na przepompownie oraz zrzutnię ścieków</w:t>
      </w:r>
      <w:r w:rsidRPr="00885434">
        <w:rPr>
          <w:rFonts w:asciiTheme="minorHAnsi" w:hAnsiTheme="minorHAnsi"/>
          <w:sz w:val="22"/>
          <w:szCs w:val="22"/>
        </w:rPr>
        <w:t>.</w:t>
      </w:r>
    </w:p>
    <w:p w:rsidR="002500E6" w:rsidRPr="007D602E" w:rsidRDefault="002500E6" w:rsidP="00876B17">
      <w:pPr>
        <w:pStyle w:val="Legenda"/>
        <w:spacing w:after="0"/>
        <w:rPr>
          <w:b w:val="0"/>
          <w:color w:val="auto"/>
          <w:sz w:val="20"/>
          <w:szCs w:val="20"/>
        </w:rPr>
      </w:pPr>
      <w:r w:rsidRPr="007D602E">
        <w:rPr>
          <w:b w:val="0"/>
          <w:color w:val="auto"/>
          <w:sz w:val="20"/>
          <w:szCs w:val="20"/>
        </w:rPr>
        <w:t xml:space="preserve">Wykres </w:t>
      </w:r>
      <w:r w:rsidR="00E07640" w:rsidRPr="007D602E">
        <w:rPr>
          <w:b w:val="0"/>
          <w:color w:val="auto"/>
          <w:sz w:val="20"/>
          <w:szCs w:val="20"/>
        </w:rPr>
        <w:fldChar w:fldCharType="begin"/>
      </w:r>
      <w:r w:rsidRPr="007D602E">
        <w:rPr>
          <w:b w:val="0"/>
          <w:color w:val="auto"/>
          <w:sz w:val="20"/>
          <w:szCs w:val="20"/>
        </w:rPr>
        <w:instrText xml:space="preserve"> SEQ Wykres \* ARABIC </w:instrText>
      </w:r>
      <w:r w:rsidR="00E07640" w:rsidRPr="007D602E">
        <w:rPr>
          <w:b w:val="0"/>
          <w:color w:val="auto"/>
          <w:sz w:val="20"/>
          <w:szCs w:val="20"/>
        </w:rPr>
        <w:fldChar w:fldCharType="separate"/>
      </w:r>
      <w:r w:rsidR="00D540D9">
        <w:rPr>
          <w:b w:val="0"/>
          <w:noProof/>
          <w:color w:val="auto"/>
          <w:sz w:val="20"/>
          <w:szCs w:val="20"/>
        </w:rPr>
        <w:t>17</w:t>
      </w:r>
      <w:r w:rsidR="00E07640" w:rsidRPr="007D602E">
        <w:rPr>
          <w:b w:val="0"/>
          <w:color w:val="auto"/>
          <w:sz w:val="20"/>
          <w:szCs w:val="20"/>
        </w:rPr>
        <w:fldChar w:fldCharType="end"/>
      </w:r>
      <w:r w:rsidRPr="007D602E">
        <w:rPr>
          <w:b w:val="0"/>
          <w:color w:val="auto"/>
          <w:sz w:val="20"/>
          <w:szCs w:val="20"/>
        </w:rPr>
        <w:t>.</w:t>
      </w:r>
    </w:p>
    <w:p w:rsidR="002500E6" w:rsidRPr="00885434" w:rsidRDefault="002500E6" w:rsidP="00876B17">
      <w:pPr>
        <w:spacing w:after="0"/>
      </w:pPr>
      <w:r w:rsidRPr="00885434">
        <w:rPr>
          <w:noProof/>
        </w:rPr>
        <w:drawing>
          <wp:inline distT="0" distB="0" distL="0" distR="0">
            <wp:extent cx="3266411" cy="3987209"/>
            <wp:effectExtent l="0" t="0" r="0" b="0"/>
            <wp:docPr id="1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876B17" w:rsidRPr="00885434">
        <w:rPr>
          <w:noProof/>
        </w:rPr>
        <w:t xml:space="preserve"> </w:t>
      </w:r>
      <w:r w:rsidR="00876B17" w:rsidRPr="00885434">
        <w:rPr>
          <w:noProof/>
        </w:rPr>
        <w:drawing>
          <wp:inline distT="0" distB="0" distL="0" distR="0">
            <wp:extent cx="2338838" cy="3987209"/>
            <wp:effectExtent l="0" t="0" r="0" b="0"/>
            <wp:docPr id="1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500E6" w:rsidRPr="007D602E" w:rsidRDefault="002500E6" w:rsidP="002500E6">
      <w:pPr>
        <w:rPr>
          <w:sz w:val="20"/>
          <w:szCs w:val="20"/>
        </w:rPr>
      </w:pPr>
      <w:r w:rsidRPr="007D602E">
        <w:rPr>
          <w:sz w:val="20"/>
          <w:szCs w:val="20"/>
        </w:rPr>
        <w:t>Źródło: opracowanie własne na podstawie danych GUS.</w:t>
      </w:r>
    </w:p>
    <w:p w:rsidR="00673001" w:rsidRPr="00885434" w:rsidRDefault="008B6713" w:rsidP="007D602E">
      <w:pPr>
        <w:spacing w:before="60" w:after="60"/>
        <w:jc w:val="both"/>
      </w:pPr>
      <w:r w:rsidRPr="00885434">
        <w:t xml:space="preserve">W zestawieniu z gminami aglomeracji poznańskiej gmina Pobiedziska zajmuje </w:t>
      </w:r>
      <w:r w:rsidR="00673001" w:rsidRPr="00885434">
        <w:t>17 miejsce</w:t>
      </w:r>
      <w:r w:rsidRPr="00885434">
        <w:t xml:space="preserve"> pod względem udziału ludności obsługiwanej przez oczyszczalnie ścieków. Natomiast w porównaniu </w:t>
      </w:r>
      <w:r w:rsidR="00661460">
        <w:br/>
      </w:r>
      <w:r w:rsidRPr="00885434">
        <w:t xml:space="preserve">z gminami miejsko-wiejskim o podobnej wielkości gmina Pobiedziska plasuje się na </w:t>
      </w:r>
      <w:r w:rsidR="00673001" w:rsidRPr="00885434">
        <w:t>6 pozycj</w:t>
      </w:r>
      <w:r w:rsidRPr="00885434">
        <w:t>i.</w:t>
      </w:r>
    </w:p>
    <w:p w:rsidR="000D1B51" w:rsidRPr="00885434" w:rsidRDefault="000D1B51" w:rsidP="007D602E">
      <w:pPr>
        <w:spacing w:before="60" w:after="60"/>
        <w:jc w:val="both"/>
      </w:pPr>
      <w:r w:rsidRPr="00885434">
        <w:t>W gminie znajduje się jedno składowisko odpadów innych niż niebezpieczne i obojętne, zlokal</w:t>
      </w:r>
      <w:r w:rsidR="00B622AF" w:rsidRPr="00885434">
        <w:t>izowane w miejscowości Borówko</w:t>
      </w:r>
      <w:r w:rsidRPr="00885434">
        <w:t xml:space="preserve">. Na składowisko przyjmowane są przede wszystkim odpady komunalne. </w:t>
      </w:r>
      <w:r w:rsidR="00E94C4F" w:rsidRPr="00885434">
        <w:t xml:space="preserve">Całkowita powierzchnia składowiska wynosi 4,6 ha. Jest ono podzielone na dwie </w:t>
      </w:r>
      <w:r w:rsidR="00E94C4F" w:rsidRPr="00885434">
        <w:lastRenderedPageBreak/>
        <w:t>kwatery. Pierwsza kwatera o pow. 1,3 ha i pojemności 101,5 tys. m</w:t>
      </w:r>
      <w:r w:rsidR="00E94C4F" w:rsidRPr="00885434">
        <w:rPr>
          <w:vertAlign w:val="superscript"/>
        </w:rPr>
        <w:t>3</w:t>
      </w:r>
      <w:r w:rsidR="00E94C4F" w:rsidRPr="00885434">
        <w:t xml:space="preserve"> jest już wypełniona w 90%. Rezerwa terenu pod drugą kwaterę wynosi 1,16 ha. Przewidywany okres eksploatacji ma trwać do około 2019 r.</w:t>
      </w:r>
      <w:r w:rsidR="00694014" w:rsidRPr="00885434">
        <w:t xml:space="preserve"> Wywozem odpadów i eksploatacją składowiska zajmuje się </w:t>
      </w:r>
      <w:r w:rsidR="00694014" w:rsidRPr="00F40595">
        <w:t xml:space="preserve">Zakład Komunalny </w:t>
      </w:r>
      <w:r w:rsidR="00661460">
        <w:br/>
      </w:r>
      <w:r w:rsidR="006F1525" w:rsidRPr="00F40595">
        <w:t xml:space="preserve">w </w:t>
      </w:r>
      <w:r w:rsidR="00694014" w:rsidRPr="00F40595">
        <w:t>Pobiedziska</w:t>
      </w:r>
      <w:r w:rsidR="006F1525" w:rsidRPr="00F40595">
        <w:t>ch</w:t>
      </w:r>
      <w:r w:rsidR="00694014" w:rsidRPr="00F40595">
        <w:t>.</w:t>
      </w:r>
      <w:r w:rsidR="00B61A93" w:rsidRPr="00F40595">
        <w:t xml:space="preserve"> </w:t>
      </w:r>
      <w:r w:rsidR="00B61A93" w:rsidRPr="00F40595">
        <w:rPr>
          <w:rFonts w:ascii="Calibri" w:hAnsi="Calibri" w:cs="Calibri"/>
        </w:rPr>
        <w:t>System</w:t>
      </w:r>
      <w:r w:rsidR="00B61A93" w:rsidRPr="00B61A93">
        <w:rPr>
          <w:rFonts w:ascii="Calibri" w:hAnsi="Calibri" w:cs="Calibri"/>
        </w:rPr>
        <w:t xml:space="preserve"> selektywnego zbierania surowców wtórnych na terenie gminy Pobiedziska odbywa się za pośrednictwem zbiorczych punktów (</w:t>
      </w:r>
      <w:r w:rsidR="00B61A93" w:rsidRPr="00B61A93">
        <w:t>zestawów pojemn</w:t>
      </w:r>
      <w:r w:rsidR="00B61A93">
        <w:t>ików) gromadzenia odpadów tzw. „centra zbiórki”</w:t>
      </w:r>
      <w:r w:rsidR="00B61A93" w:rsidRPr="00B61A93">
        <w:t>.</w:t>
      </w:r>
      <w:r w:rsidR="00B61A93">
        <w:t xml:space="preserve"> </w:t>
      </w:r>
      <w:r w:rsidR="00B61A93" w:rsidRPr="00B61A93">
        <w:t xml:space="preserve">Dwa razy w roku Zakład Komunalny organizuje zbiórkę odpadów wielkogabarytowych, odpadów niebezpiecznych oraz zużytego sprzętu elektrycznego </w:t>
      </w:r>
      <w:r w:rsidR="00661460">
        <w:br/>
      </w:r>
      <w:r w:rsidR="00B61A93" w:rsidRPr="00B61A93">
        <w:t>i elektronicznego.</w:t>
      </w:r>
    </w:p>
    <w:p w:rsidR="0029647B" w:rsidRPr="00885434" w:rsidRDefault="00C554D4" w:rsidP="007D602E">
      <w:pPr>
        <w:spacing w:before="60" w:after="60"/>
        <w:jc w:val="both"/>
      </w:pPr>
      <w:r w:rsidRPr="00885434">
        <w:t xml:space="preserve">Gmina Pobiedziska należy do Związku Międzygminnego Gospodarki Odpadami Aglomeracji Poznańskiej. Związek ma za zadanie przejąć od gmin kompetencje związane z realizacją zadań </w:t>
      </w:r>
      <w:r w:rsidR="00661460">
        <w:br/>
      </w:r>
      <w:r w:rsidRPr="00885434">
        <w:t>z zakresu szeroko pojętej gospodarki odpadami, co powinno się przyczynić do znacznego usprawnienia funkcjonowania tego sektora, czyniąc jednocześnie region bardziej przyjaznym środowisku naturalnemu.</w:t>
      </w:r>
    </w:p>
    <w:p w:rsidR="00C554D4" w:rsidRDefault="00245579" w:rsidP="007D602E">
      <w:pPr>
        <w:autoSpaceDE w:val="0"/>
        <w:autoSpaceDN w:val="0"/>
        <w:adjustRightInd w:val="0"/>
        <w:spacing w:before="60" w:after="60"/>
        <w:jc w:val="both"/>
        <w:rPr>
          <w:rFonts w:cs="ACaslonPro-Regular"/>
        </w:rPr>
      </w:pPr>
      <w:r w:rsidRPr="00885434">
        <w:rPr>
          <w:rFonts w:cs="ACaslonPro-Semibold"/>
        </w:rPr>
        <w:t xml:space="preserve">W 2010 r. Gmina Pobiedziska zawarła umowę z Wojewódzkim Funduszem Ochrony Środowiska </w:t>
      </w:r>
      <w:r w:rsidR="00661460">
        <w:rPr>
          <w:rFonts w:cs="ACaslonPro-Semibold"/>
        </w:rPr>
        <w:br/>
      </w:r>
      <w:r w:rsidRPr="00885434">
        <w:rPr>
          <w:rFonts w:cs="ACaslonPro-Semibold"/>
        </w:rPr>
        <w:t xml:space="preserve">i Gospodarki Wodnej w Poznaniu na dofinansowanie przedsięwzięć w ramach projektu pt. </w:t>
      </w:r>
      <w:r w:rsidR="004E08F6" w:rsidRPr="00885434">
        <w:rPr>
          <w:rFonts w:cs="ACaslonPro-Semibold"/>
        </w:rPr>
        <w:t>„Redukcja zużycia energii i emisji zanieczyszczeń</w:t>
      </w:r>
      <w:r w:rsidRPr="00885434">
        <w:rPr>
          <w:rFonts w:cs="ACaslonPro-Semibold"/>
        </w:rPr>
        <w:t xml:space="preserve"> </w:t>
      </w:r>
      <w:r w:rsidR="004E08F6" w:rsidRPr="00885434">
        <w:rPr>
          <w:rFonts w:cs="ACaslonPro-Semibold"/>
        </w:rPr>
        <w:t>budynków u</w:t>
      </w:r>
      <w:r w:rsidRPr="00885434">
        <w:rPr>
          <w:rFonts w:cs="ACaslonPro-Semibold"/>
        </w:rPr>
        <w:t xml:space="preserve">żyteczności publicznej w Gminie </w:t>
      </w:r>
      <w:r w:rsidR="004E08F6" w:rsidRPr="00885434">
        <w:rPr>
          <w:rFonts w:cs="ACaslonPro-Semibold"/>
        </w:rPr>
        <w:t xml:space="preserve">Pobiedziska”. </w:t>
      </w:r>
      <w:r w:rsidR="004E08F6" w:rsidRPr="00885434">
        <w:rPr>
          <w:rFonts w:cs="ACaslonPro-Regular"/>
        </w:rPr>
        <w:t>Dzięki realizacji projekt</w:t>
      </w:r>
      <w:r w:rsidRPr="00885434">
        <w:rPr>
          <w:rFonts w:cs="ACaslonPro-Regular"/>
        </w:rPr>
        <w:t>u obiekty nim</w:t>
      </w:r>
      <w:r w:rsidR="004E08F6" w:rsidRPr="00885434">
        <w:rPr>
          <w:rFonts w:cs="ACaslonPro-Regular"/>
        </w:rPr>
        <w:t xml:space="preserve"> objęte</w:t>
      </w:r>
      <w:r w:rsidRPr="00885434">
        <w:rPr>
          <w:rFonts w:cs="ACaslonPro-Semibold"/>
        </w:rPr>
        <w:t xml:space="preserve"> </w:t>
      </w:r>
      <w:r w:rsidR="004E08F6" w:rsidRPr="00885434">
        <w:rPr>
          <w:rFonts w:cs="ACaslonPro-Regular"/>
        </w:rPr>
        <w:t>oszczędzają energię potrzebną do ich ogrzania. Uzyskały</w:t>
      </w:r>
      <w:r w:rsidRPr="00885434">
        <w:rPr>
          <w:rFonts w:cs="ACaslonPro-Semibold"/>
        </w:rPr>
        <w:t xml:space="preserve"> </w:t>
      </w:r>
      <w:r w:rsidR="004E08F6" w:rsidRPr="00885434">
        <w:rPr>
          <w:rFonts w:cs="ACaslonPro-Regular"/>
        </w:rPr>
        <w:t>także nowe elewacje, a do środowiska dostanie się o przeszło</w:t>
      </w:r>
      <w:r w:rsidRPr="00885434">
        <w:rPr>
          <w:rFonts w:cs="ACaslonPro-Semibold"/>
        </w:rPr>
        <w:t xml:space="preserve"> </w:t>
      </w:r>
      <w:r w:rsidR="004E08F6" w:rsidRPr="00885434">
        <w:rPr>
          <w:rFonts w:cs="ACaslonPro-Regular"/>
        </w:rPr>
        <w:t>1,6 tony mniej zanieczyszczeń.</w:t>
      </w:r>
    </w:p>
    <w:p w:rsidR="0015443A" w:rsidRPr="00885434" w:rsidRDefault="00E07640" w:rsidP="00B622AF">
      <w:pPr>
        <w:autoSpaceDE w:val="0"/>
        <w:autoSpaceDN w:val="0"/>
        <w:adjustRightInd w:val="0"/>
        <w:spacing w:after="0"/>
        <w:jc w:val="both"/>
        <w:rPr>
          <w:rFonts w:cs="ACaslonPro-Regular"/>
        </w:rPr>
      </w:pPr>
      <w:r>
        <w:rPr>
          <w:rFonts w:cs="ACaslonPro-Regular"/>
        </w:rPr>
      </w:r>
      <w:r w:rsidR="00535843">
        <w:rPr>
          <w:rFonts w:cs="ACaslonPro-Regular"/>
        </w:rPr>
        <w:pict>
          <v:shape id="_x0000_s1045" type="#_x0000_t185" style="width:96.8pt;height:452.5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45;mso-fit-shape-to-text:t" inset="18pt,18pt,,18pt">
              <w:txbxContent>
                <w:p w:rsidR="00291CA0" w:rsidRPr="00517EE9" w:rsidRDefault="00291CA0" w:rsidP="007D602E">
                  <w:pPr>
                    <w:spacing w:before="120" w:after="120"/>
                    <w:jc w:val="both"/>
                    <w:rPr>
                      <w:b/>
                      <w:i/>
                      <w:iCs/>
                      <w:color w:val="943634" w:themeColor="accent2" w:themeShade="BF"/>
                    </w:rPr>
                  </w:pPr>
                  <w:r w:rsidRPr="00517EE9">
                    <w:rPr>
                      <w:b/>
                      <w:i/>
                      <w:iCs/>
                      <w:color w:val="943634" w:themeColor="accent2" w:themeShade="BF"/>
                    </w:rPr>
                    <w:t>KONKLUZJE STRATEGICZNE</w:t>
                  </w:r>
                </w:p>
                <w:p w:rsidR="00291CA0" w:rsidRPr="00F40595" w:rsidRDefault="00291CA0" w:rsidP="007D602E">
                  <w:pPr>
                    <w:spacing w:before="120" w:after="120"/>
                    <w:jc w:val="both"/>
                    <w:rPr>
                      <w:b/>
                      <w:i/>
                      <w:iCs/>
                      <w:color w:val="808080" w:themeColor="background1" w:themeShade="80"/>
                    </w:rPr>
                  </w:pPr>
                  <w:r w:rsidRPr="00F40595">
                    <w:rPr>
                      <w:b/>
                      <w:i/>
                      <w:iCs/>
                      <w:color w:val="808080" w:themeColor="background1" w:themeShade="80"/>
                    </w:rPr>
                    <w:t xml:space="preserve">Gmina jest w większości zwodociągowana, dostępu do sieci wodociągowej nie ma </w:t>
                  </w:r>
                  <w:r>
                    <w:rPr>
                      <w:b/>
                      <w:i/>
                      <w:iCs/>
                      <w:color w:val="808080" w:themeColor="background1" w:themeShade="80"/>
                    </w:rPr>
                    <w:t>7,2%</w:t>
                  </w:r>
                  <w:r w:rsidRPr="00F40595">
                    <w:rPr>
                      <w:b/>
                      <w:i/>
                      <w:iCs/>
                      <w:color w:val="808080" w:themeColor="background1" w:themeShade="80"/>
                    </w:rPr>
                    <w:t xml:space="preserve"> mieszkańców. Sieć kanalizacji w mieście i gminie jest w trakcie rozbudowy.</w:t>
                  </w:r>
                </w:p>
              </w:txbxContent>
            </v:textbox>
            <w10:wrap type="none" anchorx="margin" anchory="margin"/>
            <w10:anchorlock/>
          </v:shape>
        </w:pict>
      </w:r>
    </w:p>
    <w:p w:rsidR="009A7ABC" w:rsidRPr="00885434" w:rsidRDefault="00927DA9" w:rsidP="00927DA9">
      <w:pPr>
        <w:pStyle w:val="Nagwek2"/>
        <w:ind w:left="360"/>
        <w:rPr>
          <w:rFonts w:asciiTheme="minorHAnsi" w:hAnsiTheme="minorHAnsi"/>
          <w:color w:val="943634" w:themeColor="accent2" w:themeShade="BF"/>
        </w:rPr>
      </w:pPr>
      <w:bookmarkStart w:id="14" w:name="_Toc321135331"/>
      <w:r w:rsidRPr="00885434">
        <w:rPr>
          <w:rFonts w:asciiTheme="minorHAnsi" w:hAnsiTheme="minorHAnsi"/>
          <w:color w:val="943634" w:themeColor="accent2" w:themeShade="BF"/>
        </w:rPr>
        <w:t xml:space="preserve">5.3 </w:t>
      </w:r>
      <w:r w:rsidR="009A7ABC" w:rsidRPr="00885434">
        <w:rPr>
          <w:rFonts w:asciiTheme="minorHAnsi" w:hAnsiTheme="minorHAnsi"/>
          <w:color w:val="943634" w:themeColor="accent2" w:themeShade="BF"/>
        </w:rPr>
        <w:t>System komunikacji, transportu</w:t>
      </w:r>
      <w:bookmarkEnd w:id="14"/>
    </w:p>
    <w:p w:rsidR="009A7ABC" w:rsidRDefault="007E620E" w:rsidP="00517EE9">
      <w:pPr>
        <w:spacing w:before="60" w:after="60"/>
        <w:jc w:val="both"/>
      </w:pPr>
      <w:r w:rsidRPr="00885434">
        <w:t>Obszar gminy</w:t>
      </w:r>
      <w:r w:rsidR="00544155" w:rsidRPr="00885434">
        <w:t xml:space="preserve"> Pobiedziska </w:t>
      </w:r>
      <w:r w:rsidRPr="00885434">
        <w:t>przecina droga</w:t>
      </w:r>
      <w:r w:rsidR="00544155" w:rsidRPr="00885434">
        <w:t xml:space="preserve"> krajowa nr 5</w:t>
      </w:r>
      <w:r w:rsidRPr="00885434">
        <w:t xml:space="preserve"> </w:t>
      </w:r>
      <w:r w:rsidR="00F64A19" w:rsidRPr="00885434">
        <w:t xml:space="preserve">(Poznań </w:t>
      </w:r>
      <w:r w:rsidR="00F50354">
        <w:t>–</w:t>
      </w:r>
      <w:r w:rsidR="00F64A19" w:rsidRPr="00885434">
        <w:t xml:space="preserve"> Pobiedziska – Gniezno – Bydgoszcz) </w:t>
      </w:r>
      <w:r w:rsidRPr="00885434">
        <w:t>i droga</w:t>
      </w:r>
      <w:r w:rsidR="00544155" w:rsidRPr="00885434">
        <w:t xml:space="preserve"> wojewódzka nr 434</w:t>
      </w:r>
      <w:r w:rsidR="00F50354">
        <w:t xml:space="preserve"> (Kostrzyn – </w:t>
      </w:r>
      <w:r w:rsidR="007C57E8" w:rsidRPr="00885434">
        <w:t>Łubowo), obie w całości utwardzone</w:t>
      </w:r>
      <w:r w:rsidRPr="00885434">
        <w:t>. Sieć dróg uzupełniają drogi</w:t>
      </w:r>
      <w:r w:rsidR="00544155" w:rsidRPr="00885434">
        <w:t xml:space="preserve"> powiatowe</w:t>
      </w:r>
      <w:r w:rsidR="007C57E8" w:rsidRPr="00885434">
        <w:t xml:space="preserve"> (utwardzone w 62%) i</w:t>
      </w:r>
      <w:r w:rsidR="00544155" w:rsidRPr="00885434">
        <w:t xml:space="preserve"> gminne </w:t>
      </w:r>
      <w:r w:rsidR="007C57E8" w:rsidRPr="00885434">
        <w:t>(utwardzone w 42%)</w:t>
      </w:r>
      <w:r w:rsidR="00544155" w:rsidRPr="00885434">
        <w:t xml:space="preserve">. </w:t>
      </w:r>
      <w:r w:rsidR="00D05586" w:rsidRPr="00885434">
        <w:t>Największy ruch</w:t>
      </w:r>
      <w:r w:rsidR="00544155" w:rsidRPr="00885434">
        <w:t xml:space="preserve"> odbywa się drogą krajową nr 5 w relacji Poznań-Gniezno. Gęstość dróg publicznych w gminie wynosi 1,12km/km</w:t>
      </w:r>
      <w:r w:rsidR="00544155" w:rsidRPr="00885434">
        <w:rPr>
          <w:vertAlign w:val="superscript"/>
        </w:rPr>
        <w:t>2</w:t>
      </w:r>
      <w:r w:rsidR="00544155" w:rsidRPr="00885434">
        <w:t xml:space="preserve">. Układy sieci na wielu odcinkach są w dużej części zdekapitalizowane (drogi powiatowe </w:t>
      </w:r>
      <w:r w:rsidR="00661460">
        <w:br/>
      </w:r>
      <w:r w:rsidR="00544155" w:rsidRPr="00885434">
        <w:t>i gminne).</w:t>
      </w:r>
      <w:r w:rsidR="00C369BF" w:rsidRPr="00885434">
        <w:t xml:space="preserve"> Brak drogowego obejścia Pobiedzisk po str</w:t>
      </w:r>
      <w:r w:rsidR="006A1B85">
        <w:t>onie południowej i wschodniej</w:t>
      </w:r>
      <w:r w:rsidR="00C369BF" w:rsidRPr="00885434">
        <w:t xml:space="preserve"> powoduje obcią</w:t>
      </w:r>
      <w:r w:rsidRPr="00885434">
        <w:t>żenie centrum miasta (m.in. Ryn</w:t>
      </w:r>
      <w:r w:rsidR="00C369BF" w:rsidRPr="00885434">
        <w:t>k</w:t>
      </w:r>
      <w:r w:rsidRPr="00885434">
        <w:t>u</w:t>
      </w:r>
      <w:r w:rsidR="00C369BF" w:rsidRPr="00885434">
        <w:t>) dodatkowym ruchem samochodowym</w:t>
      </w:r>
      <w:r w:rsidR="002C3330">
        <w:t>, w tym tranzytowym</w:t>
      </w:r>
      <w:r w:rsidR="00C369BF" w:rsidRPr="00885434">
        <w:t>.</w:t>
      </w:r>
      <w:r w:rsidR="006A1B85">
        <w:t xml:space="preserve"> </w:t>
      </w:r>
      <w:r w:rsidR="00CD2834" w:rsidRPr="00CD2834">
        <w:t>Budowa obwodnicy miasta została ujęta w Studium uwarunkowań oraz podjęto działania związane z wyłonieniem Wykonawcy dokumentacji projektowej.</w:t>
      </w:r>
    </w:p>
    <w:p w:rsidR="00782286" w:rsidRPr="008520D0" w:rsidRDefault="00782286" w:rsidP="008520D0">
      <w:pPr>
        <w:pStyle w:val="Legenda"/>
        <w:rPr>
          <w:b w:val="0"/>
          <w:color w:val="auto"/>
          <w:sz w:val="20"/>
        </w:rPr>
      </w:pPr>
      <w:r w:rsidRPr="00782286">
        <w:rPr>
          <w:b w:val="0"/>
          <w:color w:val="auto"/>
          <w:sz w:val="20"/>
        </w:rPr>
        <w:t xml:space="preserve">Rysunek </w:t>
      </w:r>
      <w:r w:rsidR="00E07640" w:rsidRPr="00782286">
        <w:rPr>
          <w:b w:val="0"/>
          <w:color w:val="auto"/>
          <w:sz w:val="20"/>
        </w:rPr>
        <w:fldChar w:fldCharType="begin"/>
      </w:r>
      <w:r w:rsidRPr="00782286">
        <w:rPr>
          <w:b w:val="0"/>
          <w:color w:val="auto"/>
          <w:sz w:val="20"/>
        </w:rPr>
        <w:instrText xml:space="preserve"> SEQ Rysunek \* ARABIC </w:instrText>
      </w:r>
      <w:r w:rsidR="00E07640" w:rsidRPr="00782286">
        <w:rPr>
          <w:b w:val="0"/>
          <w:color w:val="auto"/>
          <w:sz w:val="20"/>
        </w:rPr>
        <w:fldChar w:fldCharType="separate"/>
      </w:r>
      <w:r w:rsidRPr="00782286">
        <w:rPr>
          <w:b w:val="0"/>
          <w:noProof/>
          <w:color w:val="auto"/>
          <w:sz w:val="20"/>
        </w:rPr>
        <w:t>2</w:t>
      </w:r>
      <w:r w:rsidR="00E07640" w:rsidRPr="00782286">
        <w:rPr>
          <w:b w:val="0"/>
          <w:color w:val="auto"/>
          <w:sz w:val="20"/>
        </w:rPr>
        <w:fldChar w:fldCharType="end"/>
      </w:r>
      <w:r w:rsidRPr="00782286">
        <w:rPr>
          <w:b w:val="0"/>
          <w:color w:val="auto"/>
          <w:sz w:val="20"/>
        </w:rPr>
        <w:t>. Generalny pomiar ruchu 2010.</w:t>
      </w:r>
    </w:p>
    <w:p w:rsidR="008520D0" w:rsidRDefault="008520D0" w:rsidP="008520D0">
      <w:pPr>
        <w:spacing w:after="0"/>
        <w:jc w:val="both"/>
      </w:pPr>
      <w:r>
        <w:rPr>
          <w:noProof/>
        </w:rPr>
        <w:lastRenderedPageBreak/>
        <w:drawing>
          <wp:inline distT="0" distB="0" distL="0" distR="0">
            <wp:extent cx="5127109" cy="3074206"/>
            <wp:effectExtent l="19050" t="0" r="0" b="0"/>
            <wp:docPr id="53"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l="7410" t="19902" r="3686" b="9059"/>
                    <a:stretch>
                      <a:fillRect/>
                    </a:stretch>
                  </pic:blipFill>
                  <pic:spPr bwMode="auto">
                    <a:xfrm>
                      <a:off x="0" y="0"/>
                      <a:ext cx="5127109" cy="3074206"/>
                    </a:xfrm>
                    <a:prstGeom prst="rect">
                      <a:avLst/>
                    </a:prstGeom>
                    <a:noFill/>
                    <a:ln w="9525">
                      <a:noFill/>
                      <a:miter lim="800000"/>
                      <a:headEnd/>
                      <a:tailEnd/>
                    </a:ln>
                  </pic:spPr>
                </pic:pic>
              </a:graphicData>
            </a:graphic>
          </wp:inline>
        </w:drawing>
      </w:r>
    </w:p>
    <w:p w:rsidR="008520D0" w:rsidRDefault="008520D0" w:rsidP="008520D0">
      <w:pPr>
        <w:spacing w:after="0"/>
        <w:jc w:val="both"/>
      </w:pPr>
      <w:r>
        <w:rPr>
          <w:noProof/>
        </w:rPr>
        <w:drawing>
          <wp:inline distT="0" distB="0" distL="0" distR="0">
            <wp:extent cx="3445894" cy="584790"/>
            <wp:effectExtent l="19050" t="0" r="2156" b="0"/>
            <wp:docPr id="58"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l="19944" t="49636" r="20281" b="36844"/>
                    <a:stretch>
                      <a:fillRect/>
                    </a:stretch>
                  </pic:blipFill>
                  <pic:spPr bwMode="auto">
                    <a:xfrm>
                      <a:off x="0" y="0"/>
                      <a:ext cx="3445894" cy="584790"/>
                    </a:xfrm>
                    <a:prstGeom prst="rect">
                      <a:avLst/>
                    </a:prstGeom>
                    <a:noFill/>
                    <a:ln w="9525">
                      <a:noFill/>
                      <a:miter lim="800000"/>
                      <a:headEnd/>
                      <a:tailEnd/>
                    </a:ln>
                  </pic:spPr>
                </pic:pic>
              </a:graphicData>
            </a:graphic>
          </wp:inline>
        </w:drawing>
      </w:r>
    </w:p>
    <w:p w:rsidR="00782286" w:rsidRPr="00782286" w:rsidRDefault="00782286" w:rsidP="00517EE9">
      <w:pPr>
        <w:spacing w:before="60" w:after="60"/>
        <w:jc w:val="both"/>
        <w:rPr>
          <w:sz w:val="20"/>
        </w:rPr>
      </w:pPr>
      <w:r w:rsidRPr="00782286">
        <w:rPr>
          <w:sz w:val="20"/>
        </w:rPr>
        <w:t>Źródło: http://www.</w:t>
      </w:r>
      <w:r w:rsidR="008520D0">
        <w:rPr>
          <w:sz w:val="20"/>
        </w:rPr>
        <w:t>wzdw.pl</w:t>
      </w:r>
    </w:p>
    <w:p w:rsidR="00904DFA" w:rsidRPr="00885434" w:rsidRDefault="00904DFA" w:rsidP="00517EE9">
      <w:pPr>
        <w:spacing w:before="60" w:after="60"/>
        <w:jc w:val="both"/>
      </w:pPr>
      <w:r w:rsidRPr="00885434">
        <w:t xml:space="preserve">Niedoinwestowanie ulic i dróg przy znacznej dynamice rozwoju gminy w ostatnich latach, </w:t>
      </w:r>
      <w:r w:rsidR="001A7B20" w:rsidRPr="00885434">
        <w:t>wzrastające natężenie</w:t>
      </w:r>
      <w:r w:rsidRPr="00885434">
        <w:t xml:space="preserve"> ruchu samochodowego i transportu drogowego wielotonażowego to główne przyczyny obniżającego się stanu ich jakości. Wobec postępującego stale rozwoju uprzemysłowienia </w:t>
      </w:r>
      <w:r w:rsidR="00661460">
        <w:br/>
      </w:r>
      <w:r w:rsidRPr="00885434">
        <w:t>i motoryzacji zachodzi konieczność dostosowania dróg do tych zadań.</w:t>
      </w:r>
    </w:p>
    <w:p w:rsidR="00D05586" w:rsidRPr="00885434" w:rsidRDefault="00D05586" w:rsidP="00517EE9">
      <w:pPr>
        <w:spacing w:before="60" w:after="60"/>
        <w:jc w:val="both"/>
      </w:pPr>
      <w:r w:rsidRPr="00885434">
        <w:t>W trakcie realizacji jest budowa drogi ekspresowej S5, odcinek Gniezno-Poznań, która będzie przebiegać przez gminę Pobiedziska.</w:t>
      </w:r>
      <w:r w:rsidR="00EE6025" w:rsidRPr="00885434">
        <w:t xml:space="preserve"> Realizacja projektu przyczyni się w docelowym układzie do zapewnienia sprawnego połączenia autostrady A1 Gdańsk – Katowice z autostradą A2 Poznań-Warszawa. Bezpośrednim rezultatem projektu drogi ekspresowej Gniezno-Poznań będzie również podłączenie drogi nr 5 Gniezno – Poznań oraz drogi nr 92 Września – Poznań do autostrady nr A2 Września – Poznań – Nowy Tomyśl w rejonie Kleszczewa</w:t>
      </w:r>
      <w:r w:rsidR="00EE6025" w:rsidRPr="00885434">
        <w:rPr>
          <w:rStyle w:val="Odwoanieprzypisudolnego"/>
        </w:rPr>
        <w:footnoteReference w:id="5"/>
      </w:r>
      <w:r w:rsidR="00EE6025" w:rsidRPr="00885434">
        <w:t>.</w:t>
      </w:r>
      <w:r w:rsidR="00BD4755">
        <w:t xml:space="preserve"> Budowana droga S-5 w znacznym stopniu przejmie ruch tranzytowy odbywający się drogą krajową nr 5.</w:t>
      </w:r>
    </w:p>
    <w:p w:rsidR="00EE6025" w:rsidRPr="00517EE9" w:rsidRDefault="00EE6025" w:rsidP="004A41DE">
      <w:pPr>
        <w:pStyle w:val="Legenda"/>
        <w:spacing w:after="0"/>
        <w:rPr>
          <w:b w:val="0"/>
          <w:color w:val="auto"/>
          <w:sz w:val="20"/>
          <w:szCs w:val="20"/>
        </w:rPr>
      </w:pPr>
      <w:r w:rsidRPr="00517EE9">
        <w:rPr>
          <w:b w:val="0"/>
          <w:color w:val="auto"/>
          <w:sz w:val="20"/>
          <w:szCs w:val="20"/>
        </w:rPr>
        <w:t xml:space="preserve">Rysunek </w:t>
      </w:r>
      <w:r w:rsidR="00E07640" w:rsidRPr="00517EE9">
        <w:rPr>
          <w:b w:val="0"/>
          <w:color w:val="auto"/>
          <w:sz w:val="20"/>
          <w:szCs w:val="20"/>
        </w:rPr>
        <w:fldChar w:fldCharType="begin"/>
      </w:r>
      <w:r w:rsidRPr="00517EE9">
        <w:rPr>
          <w:b w:val="0"/>
          <w:color w:val="auto"/>
          <w:sz w:val="20"/>
          <w:szCs w:val="20"/>
        </w:rPr>
        <w:instrText xml:space="preserve"> SEQ Rysunek \* ARABIC </w:instrText>
      </w:r>
      <w:r w:rsidR="00E07640" w:rsidRPr="00517EE9">
        <w:rPr>
          <w:b w:val="0"/>
          <w:color w:val="auto"/>
          <w:sz w:val="20"/>
          <w:szCs w:val="20"/>
        </w:rPr>
        <w:fldChar w:fldCharType="separate"/>
      </w:r>
      <w:r w:rsidR="00782286">
        <w:rPr>
          <w:b w:val="0"/>
          <w:noProof/>
          <w:color w:val="auto"/>
          <w:sz w:val="20"/>
          <w:szCs w:val="20"/>
        </w:rPr>
        <w:t>3</w:t>
      </w:r>
      <w:r w:rsidR="00E07640" w:rsidRPr="00517EE9">
        <w:rPr>
          <w:b w:val="0"/>
          <w:color w:val="auto"/>
          <w:sz w:val="20"/>
          <w:szCs w:val="20"/>
        </w:rPr>
        <w:fldChar w:fldCharType="end"/>
      </w:r>
      <w:r w:rsidRPr="00517EE9">
        <w:rPr>
          <w:b w:val="0"/>
          <w:color w:val="auto"/>
          <w:sz w:val="20"/>
          <w:szCs w:val="20"/>
        </w:rPr>
        <w:t>. Układ dróg w gminie Pobiedziska.</w:t>
      </w:r>
    </w:p>
    <w:p w:rsidR="005905BD" w:rsidRPr="00885434" w:rsidRDefault="00E07640" w:rsidP="004A41DE">
      <w:pPr>
        <w:spacing w:after="0"/>
        <w:jc w:val="both"/>
      </w:pPr>
      <w:r>
        <w:rPr>
          <w:noProof/>
          <w:lang w:eastAsia="en-US"/>
        </w:rPr>
        <w:lastRenderedPageBreak/>
        <w:pict>
          <v:shapetype id="_x0000_t202" coordsize="21600,21600" o:spt="202" path="m,l,21600r21600,l21600,xe">
            <v:stroke joinstyle="miter"/>
            <v:path gradientshapeok="t" o:connecttype="rect"/>
          </v:shapetype>
          <v:shape id="_x0000_s1027" type="#_x0000_t202" style="position:absolute;left:0;text-align:left;margin-left:79.7pt;margin-top:342pt;width:86.4pt;height:46.9pt;z-index:251660288;mso-width-relative:margin;mso-height-relative:margin" strokecolor="white [3212]" strokeweight=".25pt">
            <v:textbox style="mso-next-textbox:#_x0000_s1027">
              <w:txbxContent>
                <w:p w:rsidR="00291CA0" w:rsidRPr="004A41DE" w:rsidRDefault="00291CA0" w:rsidP="004A41DE">
                  <w:pPr>
                    <w:spacing w:after="0" w:line="360" w:lineRule="auto"/>
                    <w:rPr>
                      <w:sz w:val="16"/>
                    </w:rPr>
                  </w:pPr>
                  <w:r w:rsidRPr="004A41DE">
                    <w:rPr>
                      <w:sz w:val="16"/>
                    </w:rPr>
                    <w:t>Drogi powiatowe</w:t>
                  </w:r>
                </w:p>
                <w:p w:rsidR="00291CA0" w:rsidRPr="004A41DE" w:rsidRDefault="00291CA0" w:rsidP="004A41DE">
                  <w:pPr>
                    <w:spacing w:after="0" w:line="360" w:lineRule="auto"/>
                    <w:rPr>
                      <w:sz w:val="16"/>
                    </w:rPr>
                  </w:pPr>
                  <w:r w:rsidRPr="004A41DE">
                    <w:rPr>
                      <w:sz w:val="16"/>
                    </w:rPr>
                    <w:t>Droga krajowa</w:t>
                  </w:r>
                </w:p>
                <w:p w:rsidR="00291CA0" w:rsidRPr="004A41DE" w:rsidRDefault="00291CA0" w:rsidP="004A41DE">
                  <w:pPr>
                    <w:spacing w:after="0" w:line="360" w:lineRule="auto"/>
                    <w:rPr>
                      <w:sz w:val="16"/>
                    </w:rPr>
                  </w:pPr>
                  <w:r w:rsidRPr="004A41DE">
                    <w:rPr>
                      <w:sz w:val="16"/>
                    </w:rPr>
                    <w:t>Droga wojewódzka</w:t>
                  </w:r>
                </w:p>
              </w:txbxContent>
            </v:textbox>
          </v:shape>
        </w:pict>
      </w:r>
      <w:r w:rsidR="00A344CA" w:rsidRPr="00885434">
        <w:rPr>
          <w:noProof/>
        </w:rPr>
        <w:drawing>
          <wp:inline distT="0" distB="0" distL="0" distR="0">
            <wp:extent cx="5694281" cy="4954773"/>
            <wp:effectExtent l="19050" t="0" r="1669"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t="1271" r="1290"/>
                    <a:stretch>
                      <a:fillRect/>
                    </a:stretch>
                  </pic:blipFill>
                  <pic:spPr bwMode="auto">
                    <a:xfrm>
                      <a:off x="0" y="0"/>
                      <a:ext cx="5694281" cy="4954773"/>
                    </a:xfrm>
                    <a:prstGeom prst="rect">
                      <a:avLst/>
                    </a:prstGeom>
                    <a:noFill/>
                    <a:ln w="9525">
                      <a:noFill/>
                      <a:miter lim="800000"/>
                      <a:headEnd/>
                      <a:tailEnd/>
                    </a:ln>
                  </pic:spPr>
                </pic:pic>
              </a:graphicData>
            </a:graphic>
          </wp:inline>
        </w:drawing>
      </w:r>
    </w:p>
    <w:p w:rsidR="00A344CA" w:rsidRPr="00517EE9" w:rsidRDefault="00A344CA" w:rsidP="00C369BF">
      <w:pPr>
        <w:jc w:val="both"/>
        <w:rPr>
          <w:sz w:val="20"/>
          <w:szCs w:val="20"/>
        </w:rPr>
      </w:pPr>
      <w:r w:rsidRPr="00517EE9">
        <w:rPr>
          <w:sz w:val="20"/>
          <w:szCs w:val="20"/>
        </w:rPr>
        <w:t xml:space="preserve">Źródło: </w:t>
      </w:r>
      <w:r w:rsidR="00420FCD">
        <w:rPr>
          <w:sz w:val="20"/>
          <w:szCs w:val="20"/>
        </w:rPr>
        <w:t>Zarząd Dróg Powiatowych w Poznaniu.</w:t>
      </w:r>
    </w:p>
    <w:p w:rsidR="00010B7D" w:rsidRPr="0034678B" w:rsidRDefault="00504810" w:rsidP="0034678B">
      <w:pPr>
        <w:pStyle w:val="Wcicietekstu"/>
        <w:spacing w:before="60" w:after="60" w:line="276" w:lineRule="auto"/>
        <w:jc w:val="both"/>
      </w:pPr>
      <w:r w:rsidRPr="00885434">
        <w:rPr>
          <w:rFonts w:asciiTheme="minorHAnsi" w:hAnsiTheme="minorHAnsi"/>
          <w:b w:val="0"/>
          <w:sz w:val="22"/>
        </w:rPr>
        <w:t>Przez teren gminy przebiega jedna dwutorowa zelektryfikowana linia kolejowa Poznań – Pobiedziska – Gniezno.</w:t>
      </w:r>
      <w:r w:rsidR="0057007B" w:rsidRPr="00885434">
        <w:rPr>
          <w:rFonts w:asciiTheme="minorHAnsi" w:hAnsiTheme="minorHAnsi"/>
          <w:b w:val="0"/>
          <w:sz w:val="22"/>
        </w:rPr>
        <w:t xml:space="preserve"> </w:t>
      </w:r>
      <w:r w:rsidRPr="00885434">
        <w:rPr>
          <w:rFonts w:asciiTheme="minorHAnsi" w:hAnsiTheme="minorHAnsi"/>
          <w:b w:val="0"/>
          <w:sz w:val="22"/>
        </w:rPr>
        <w:t>Stacje kolejowe i przystanki istnieją w Biskupicach, Promnie, Pobiedziskach Letnisku, Pobiedziskach.</w:t>
      </w:r>
      <w:r w:rsidR="00705F2A" w:rsidRPr="00885434">
        <w:rPr>
          <w:rFonts w:asciiTheme="minorHAnsi" w:hAnsiTheme="minorHAnsi"/>
          <w:b w:val="0"/>
          <w:sz w:val="22"/>
        </w:rPr>
        <w:t xml:space="preserve"> </w:t>
      </w:r>
      <w:r w:rsidR="0057007B" w:rsidRPr="00885434">
        <w:rPr>
          <w:rFonts w:asciiTheme="minorHAnsi" w:hAnsiTheme="minorHAnsi"/>
          <w:b w:val="0"/>
          <w:sz w:val="22"/>
          <w:szCs w:val="22"/>
        </w:rPr>
        <w:t xml:space="preserve">Transport kolejowy zapewnia połączenia w ruchu pasażerskim - pociągi osobowe </w:t>
      </w:r>
      <w:r w:rsidR="00661460">
        <w:rPr>
          <w:rFonts w:asciiTheme="minorHAnsi" w:hAnsiTheme="minorHAnsi"/>
          <w:b w:val="0"/>
          <w:sz w:val="22"/>
          <w:szCs w:val="22"/>
        </w:rPr>
        <w:br/>
      </w:r>
      <w:r w:rsidR="0057007B" w:rsidRPr="00885434">
        <w:rPr>
          <w:rFonts w:asciiTheme="minorHAnsi" w:hAnsiTheme="minorHAnsi"/>
          <w:b w:val="0"/>
          <w:sz w:val="22"/>
          <w:szCs w:val="22"/>
        </w:rPr>
        <w:t>i przyspieszone oraz w ruchu towarowym. Liczba połączeń w ruchu pasażerskim z roku na rok wzrasta, obecnie na stacji Pobiedziska zatrzymuje się około 40 pociągów, w obu kierunkach, w ciągu doby</w:t>
      </w:r>
      <w:r w:rsidR="00485D3B" w:rsidRPr="00885434">
        <w:rPr>
          <w:rStyle w:val="Odwoanieprzypisudolnego"/>
          <w:rFonts w:asciiTheme="minorHAnsi" w:hAnsiTheme="minorHAnsi"/>
          <w:b w:val="0"/>
          <w:sz w:val="22"/>
          <w:szCs w:val="22"/>
        </w:rPr>
        <w:footnoteReference w:id="6"/>
      </w:r>
      <w:r w:rsidR="00485D3B">
        <w:rPr>
          <w:rFonts w:asciiTheme="minorHAnsi" w:hAnsiTheme="minorHAnsi"/>
          <w:b w:val="0"/>
          <w:sz w:val="22"/>
          <w:szCs w:val="22"/>
        </w:rPr>
        <w:t>.</w:t>
      </w:r>
      <w:r w:rsidR="00015684" w:rsidRPr="00885434">
        <w:rPr>
          <w:rFonts w:asciiTheme="minorHAnsi" w:hAnsiTheme="minorHAnsi"/>
          <w:b w:val="0"/>
          <w:sz w:val="22"/>
          <w:szCs w:val="22"/>
        </w:rPr>
        <w:t xml:space="preserve"> </w:t>
      </w:r>
      <w:r w:rsidR="0034678B" w:rsidRPr="0034678B">
        <w:rPr>
          <w:rFonts w:asciiTheme="minorHAnsi" w:hAnsiTheme="minorHAnsi"/>
          <w:b w:val="0"/>
          <w:sz w:val="22"/>
        </w:rPr>
        <w:t>Komunikacja kolejowa realizowana na terenie Gminy jest obsługiwana wyłącznie</w:t>
      </w:r>
      <w:r w:rsidR="0034678B" w:rsidRPr="0034678B">
        <w:rPr>
          <w:rFonts w:asciiTheme="minorHAnsi" w:hAnsiTheme="minorHAnsi"/>
          <w:b w:val="0"/>
          <w:sz w:val="22"/>
          <w:szCs w:val="22"/>
        </w:rPr>
        <w:t xml:space="preserve"> przez firm</w:t>
      </w:r>
      <w:r w:rsidR="0034678B" w:rsidRPr="0034678B">
        <w:rPr>
          <w:rFonts w:asciiTheme="minorHAnsi" w:hAnsiTheme="minorHAnsi" w:hint="eastAsia"/>
          <w:b w:val="0"/>
          <w:sz w:val="22"/>
          <w:szCs w:val="22"/>
        </w:rPr>
        <w:t>ę</w:t>
      </w:r>
      <w:r w:rsidR="0034678B" w:rsidRPr="0034678B">
        <w:rPr>
          <w:rFonts w:asciiTheme="minorHAnsi" w:hAnsiTheme="minorHAnsi"/>
          <w:b w:val="0"/>
          <w:sz w:val="22"/>
          <w:szCs w:val="22"/>
        </w:rPr>
        <w:t xml:space="preserve"> </w:t>
      </w:r>
      <w:r w:rsidR="0034678B" w:rsidRPr="0034678B">
        <w:rPr>
          <w:rFonts w:asciiTheme="minorHAnsi" w:hAnsiTheme="minorHAnsi" w:hint="eastAsia"/>
          <w:b w:val="0"/>
          <w:sz w:val="22"/>
          <w:szCs w:val="22"/>
        </w:rPr>
        <w:t>„</w:t>
      </w:r>
      <w:r w:rsidR="0034678B" w:rsidRPr="0034678B">
        <w:rPr>
          <w:rFonts w:asciiTheme="minorHAnsi" w:hAnsiTheme="minorHAnsi"/>
          <w:b w:val="0"/>
          <w:sz w:val="22"/>
          <w:szCs w:val="22"/>
        </w:rPr>
        <w:t>PKP Przewozy Regionalne</w:t>
      </w:r>
      <w:r w:rsidR="0034678B" w:rsidRPr="0034678B">
        <w:rPr>
          <w:rFonts w:asciiTheme="minorHAnsi" w:hAnsiTheme="minorHAnsi" w:hint="eastAsia"/>
          <w:b w:val="0"/>
          <w:sz w:val="22"/>
          <w:szCs w:val="22"/>
        </w:rPr>
        <w:t>”</w:t>
      </w:r>
      <w:r w:rsidR="0034678B" w:rsidRPr="0034678B">
        <w:rPr>
          <w:rFonts w:asciiTheme="minorHAnsi" w:hAnsiTheme="minorHAnsi"/>
          <w:b w:val="0"/>
          <w:sz w:val="22"/>
          <w:szCs w:val="22"/>
        </w:rPr>
        <w:t xml:space="preserve"> (poci</w:t>
      </w:r>
      <w:r w:rsidR="0034678B" w:rsidRPr="0034678B">
        <w:rPr>
          <w:rFonts w:asciiTheme="minorHAnsi" w:hAnsiTheme="minorHAnsi" w:hint="eastAsia"/>
          <w:b w:val="0"/>
          <w:sz w:val="22"/>
          <w:szCs w:val="22"/>
        </w:rPr>
        <w:t>ą</w:t>
      </w:r>
      <w:r w:rsidR="0034678B" w:rsidRPr="0034678B">
        <w:rPr>
          <w:rFonts w:asciiTheme="minorHAnsi" w:hAnsiTheme="minorHAnsi"/>
          <w:b w:val="0"/>
          <w:sz w:val="22"/>
          <w:szCs w:val="22"/>
        </w:rPr>
        <w:t>gi osobowe).</w:t>
      </w:r>
      <w:r w:rsidR="0034678B">
        <w:rPr>
          <w:rFonts w:asciiTheme="minorHAnsi" w:hAnsiTheme="minorHAnsi"/>
          <w:b w:val="0"/>
          <w:sz w:val="22"/>
          <w:szCs w:val="22"/>
        </w:rPr>
        <w:t xml:space="preserve"> </w:t>
      </w:r>
      <w:r w:rsidR="00015684" w:rsidRPr="00885434">
        <w:rPr>
          <w:rFonts w:asciiTheme="minorHAnsi" w:hAnsiTheme="minorHAnsi"/>
          <w:b w:val="0"/>
          <w:sz w:val="22"/>
          <w:szCs w:val="22"/>
        </w:rPr>
        <w:t>Podróż do Poznania trwa około 35 minut, a do Gniezna około 20 minut.</w:t>
      </w:r>
      <w:r w:rsidR="00706742" w:rsidRPr="00885434">
        <w:rPr>
          <w:rFonts w:asciiTheme="minorHAnsi" w:hAnsiTheme="minorHAnsi"/>
          <w:b w:val="0"/>
          <w:sz w:val="22"/>
          <w:szCs w:val="22"/>
        </w:rPr>
        <w:t xml:space="preserve"> </w:t>
      </w:r>
      <w:r w:rsidR="00010B7D" w:rsidRPr="00010B7D">
        <w:rPr>
          <w:rFonts w:asciiTheme="minorHAnsi" w:hAnsiTheme="minorHAnsi"/>
          <w:b w:val="0"/>
          <w:sz w:val="22"/>
          <w:szCs w:val="22"/>
        </w:rPr>
        <w:t>W ramach zadania „Rewitalizacja linii kolejowej nr 353 Poznań Wschód – Skandawa na terenie IZ Poznań”, w torze nr 2 na odcinku od stacji Poznań Wschód do stacji Gniezno były wykonywane w 2011 r. remonty przejazdów kolejowych w Pobiedziskach, Pobiedziskach-Letnisku, Biskupicach i w Promnie.</w:t>
      </w:r>
    </w:p>
    <w:p w:rsidR="00016208" w:rsidRPr="00885434" w:rsidRDefault="007C57E8" w:rsidP="00517EE9">
      <w:pPr>
        <w:spacing w:before="60" w:after="60"/>
        <w:jc w:val="both"/>
        <w:rPr>
          <w:rFonts w:eastAsia="Times New Roman"/>
        </w:rPr>
      </w:pPr>
      <w:r w:rsidRPr="00885434">
        <w:t xml:space="preserve">Na terenie gminy Pobiedziska funkcjonuje komunikacja pasażerska </w:t>
      </w:r>
      <w:r w:rsidR="00F40595">
        <w:rPr>
          <w:rFonts w:eastAsia="Times New Roman"/>
        </w:rPr>
        <w:t xml:space="preserve">obsługiwana przez PKS-y </w:t>
      </w:r>
      <w:r w:rsidRPr="00885434">
        <w:rPr>
          <w:rFonts w:eastAsia="Times New Roman"/>
        </w:rPr>
        <w:t xml:space="preserve">i firmę Transkom. </w:t>
      </w:r>
      <w:r w:rsidR="00DB35BE" w:rsidRPr="00885434">
        <w:t xml:space="preserve">Transport autobusowy zapewnia połączenia regionalne z Poznaniem i Gnieznem oraz ponadlokalne z Kiszkowem, Kostrzynem i Tucznem. </w:t>
      </w:r>
      <w:r w:rsidR="000A2A58" w:rsidRPr="00885434">
        <w:rPr>
          <w:rFonts w:eastAsia="Times New Roman"/>
        </w:rPr>
        <w:t xml:space="preserve">Na stan techniczny taboru gmina nie ma wpływu, bowiem jest on własnością firm przewozowych. Na terenie gminy usytuowane są 24 przystanki. Najczęściej wykorzystywanym przez mieszkańców jest przystanek w Pobiedziskach, usytuowany koło </w:t>
      </w:r>
      <w:r w:rsidR="000A2A58" w:rsidRPr="00885434">
        <w:rPr>
          <w:rFonts w:eastAsia="Times New Roman"/>
        </w:rPr>
        <w:lastRenderedPageBreak/>
        <w:t>dworca kolejowego. Pasażerowie korzystający</w:t>
      </w:r>
      <w:r w:rsidR="00DB35BE" w:rsidRPr="00885434">
        <w:rPr>
          <w:rFonts w:eastAsia="Times New Roman"/>
        </w:rPr>
        <w:t xml:space="preserve"> z komunikacji </w:t>
      </w:r>
      <w:r w:rsidR="00743FBB" w:rsidRPr="00F40595">
        <w:rPr>
          <w:rFonts w:eastAsia="Times New Roman"/>
        </w:rPr>
        <w:t>publicznej</w:t>
      </w:r>
      <w:r w:rsidR="00743FBB">
        <w:rPr>
          <w:rFonts w:eastAsia="Times New Roman"/>
          <w:color w:val="FF0000"/>
        </w:rPr>
        <w:t xml:space="preserve"> </w:t>
      </w:r>
      <w:r w:rsidR="00DB35BE" w:rsidRPr="00885434">
        <w:rPr>
          <w:rFonts w:eastAsia="Times New Roman"/>
        </w:rPr>
        <w:t>podróżują głównie w kierunku Poznania</w:t>
      </w:r>
      <w:r w:rsidR="002B4F95" w:rsidRPr="00885434">
        <w:rPr>
          <w:rStyle w:val="Odwoanieprzypisudolnego"/>
          <w:rFonts w:eastAsia="Times New Roman"/>
        </w:rPr>
        <w:footnoteReference w:id="7"/>
      </w:r>
      <w:r w:rsidR="00DB35BE" w:rsidRPr="00885434">
        <w:rPr>
          <w:rFonts w:eastAsia="Times New Roman"/>
        </w:rPr>
        <w:t>.</w:t>
      </w:r>
    </w:p>
    <w:p w:rsidR="004757E7" w:rsidRPr="00F40595" w:rsidRDefault="00C369BF" w:rsidP="00517EE9">
      <w:pPr>
        <w:spacing w:before="60" w:after="60"/>
        <w:jc w:val="both"/>
      </w:pPr>
      <w:r w:rsidRPr="00885434">
        <w:rPr>
          <w:bCs/>
        </w:rPr>
        <w:t>Lotnisko w Bednarach</w:t>
      </w:r>
      <w:r w:rsidR="00706742" w:rsidRPr="00885434">
        <w:rPr>
          <w:bCs/>
        </w:rPr>
        <w:t xml:space="preserve"> to obiekt, dawniej należący do Wojska Polskiego, a w chwili obecnej utrzymywany w rękach prywatnych</w:t>
      </w:r>
      <w:r w:rsidR="00B44CF4">
        <w:rPr>
          <w:bCs/>
        </w:rPr>
        <w:t xml:space="preserve"> m.in. </w:t>
      </w:r>
      <w:r w:rsidR="00B44CF4" w:rsidRPr="00C66594">
        <w:rPr>
          <w:bCs/>
        </w:rPr>
        <w:t>przez Test &amp; Training</w:t>
      </w:r>
      <w:r w:rsidR="00706742" w:rsidRPr="00C66594">
        <w:rPr>
          <w:bCs/>
        </w:rPr>
        <w:t xml:space="preserve"> </w:t>
      </w:r>
      <w:r w:rsidR="00B44CF4" w:rsidRPr="00C66594">
        <w:rPr>
          <w:bCs/>
        </w:rPr>
        <w:t>Safety Centre</w:t>
      </w:r>
      <w:r w:rsidR="002B5739" w:rsidRPr="00C66594">
        <w:rPr>
          <w:bCs/>
        </w:rPr>
        <w:t xml:space="preserve"> oraz Sobiesław Zasada SA S.K</w:t>
      </w:r>
      <w:r w:rsidR="00C66594">
        <w:rPr>
          <w:bCs/>
        </w:rPr>
        <w:t>.</w:t>
      </w:r>
      <w:r w:rsidR="00B44CF4" w:rsidRPr="00C66594">
        <w:rPr>
          <w:bCs/>
        </w:rPr>
        <w:t xml:space="preserve"> (szkoła doskonalenia jazdy dla kierowców samochodowych),</w:t>
      </w:r>
      <w:r w:rsidR="007A280D" w:rsidRPr="00C66594">
        <w:rPr>
          <w:bCs/>
        </w:rPr>
        <w:t xml:space="preserve"> dzierżawiony w </w:t>
      </w:r>
      <w:r w:rsidR="002B5739" w:rsidRPr="00C66594">
        <w:rPr>
          <w:bCs/>
        </w:rPr>
        <w:t xml:space="preserve">znacznej </w:t>
      </w:r>
      <w:r w:rsidR="007A280D" w:rsidRPr="00C66594">
        <w:rPr>
          <w:bCs/>
        </w:rPr>
        <w:t xml:space="preserve">części przez </w:t>
      </w:r>
      <w:r w:rsidR="00B44CF4" w:rsidRPr="00C66594">
        <w:rPr>
          <w:bCs/>
        </w:rPr>
        <w:t>Aeroklub Poznański</w:t>
      </w:r>
      <w:r w:rsidR="00706742" w:rsidRPr="00C66594">
        <w:rPr>
          <w:bCs/>
        </w:rPr>
        <w:t xml:space="preserve">. </w:t>
      </w:r>
      <w:r w:rsidR="00706742" w:rsidRPr="00885434">
        <w:rPr>
          <w:bCs/>
        </w:rPr>
        <w:t>Lotnisko posiada dwa pasy startowe: trawiasty i asfaltowy.</w:t>
      </w:r>
      <w:r w:rsidR="004757E7" w:rsidRPr="00885434">
        <w:t xml:space="preserve"> </w:t>
      </w:r>
      <w:r w:rsidR="00205682" w:rsidRPr="00885434">
        <w:t>Jest</w:t>
      </w:r>
      <w:r w:rsidR="004757E7" w:rsidRPr="00885434">
        <w:t xml:space="preserve"> wpisane do ewidencji lądowisk cywilnych pod nr 48, przystosowane jest do startów i lądowań statków powietrznych (śmigłowców, samolotów) o dopuszczalnej masie startowej (MTOW) do 5700 kg oraz do lotów szybowcowych, motoszybowcowych, balonowych, mikrolotowych, paralotniowych, skoków spadochronowych. Lotnisko przystosowane jest do wykonywania lotów VFR (ang. Visual Flight Rules - zasady lotu z widocznością) w dzień i w nocy, jednak jest aktywne wyłącznie w momencie rozłożenia zewnętrznych punktów odniesienia dziennych lub nocnych. Lotnisko służy również jako Leśna Baza Lotnicza Lasów Państwowych. </w:t>
      </w:r>
      <w:r w:rsidR="00B44CF4" w:rsidRPr="00C66594">
        <w:t>N</w:t>
      </w:r>
      <w:r w:rsidR="004757E7" w:rsidRPr="00C66594">
        <w:t xml:space="preserve">a </w:t>
      </w:r>
      <w:r w:rsidR="00B44CF4" w:rsidRPr="00C66594">
        <w:t xml:space="preserve">terenie </w:t>
      </w:r>
      <w:r w:rsidR="004757E7" w:rsidRPr="00C66594">
        <w:t xml:space="preserve">lotniska organizowane są wystawy i imprezy </w:t>
      </w:r>
      <w:r w:rsidR="00E514A9" w:rsidRPr="00C66594">
        <w:t xml:space="preserve">m.in. </w:t>
      </w:r>
      <w:r w:rsidR="00F40595" w:rsidRPr="00C66594">
        <w:t xml:space="preserve">ogólnopolska wystawa rolnicza </w:t>
      </w:r>
      <w:r w:rsidR="00E514A9" w:rsidRPr="00C66594">
        <w:t>AGRO SHOW.</w:t>
      </w:r>
    </w:p>
    <w:p w:rsidR="00A06C89" w:rsidRPr="00885434" w:rsidRDefault="00E07640" w:rsidP="0022048D">
      <w:r w:rsidRPr="00E07640">
        <w:rPr>
          <w:bCs/>
        </w:rPr>
      </w:r>
      <w:r w:rsidR="00535843" w:rsidRPr="00E07640">
        <w:rPr>
          <w:bCs/>
        </w:rPr>
        <w:pict>
          <v:shape id="_x0000_s1044" type="#_x0000_t185" style="width:177.9pt;height:451.65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44;mso-fit-shape-to-text:t" inset="18pt,18pt,,18pt">
              <w:txbxContent>
                <w:p w:rsidR="00291CA0" w:rsidRPr="00517EE9" w:rsidRDefault="00291CA0" w:rsidP="00517EE9">
                  <w:pPr>
                    <w:spacing w:before="120" w:after="120"/>
                    <w:jc w:val="both"/>
                    <w:rPr>
                      <w:b/>
                      <w:i/>
                      <w:iCs/>
                      <w:color w:val="943634" w:themeColor="accent2" w:themeShade="BF"/>
                    </w:rPr>
                  </w:pPr>
                  <w:r w:rsidRPr="00517EE9">
                    <w:rPr>
                      <w:b/>
                      <w:i/>
                      <w:iCs/>
                      <w:color w:val="943634" w:themeColor="accent2" w:themeShade="BF"/>
                    </w:rPr>
                    <w:t>KONKLUZJE STRATEGICZNE</w:t>
                  </w:r>
                </w:p>
                <w:p w:rsidR="00291CA0" w:rsidRPr="00517EE9" w:rsidRDefault="00291CA0" w:rsidP="00517EE9">
                  <w:pPr>
                    <w:spacing w:before="120" w:after="120"/>
                    <w:jc w:val="both"/>
                    <w:rPr>
                      <w:b/>
                      <w:i/>
                      <w:iCs/>
                      <w:color w:val="808080" w:themeColor="background1" w:themeShade="80"/>
                    </w:rPr>
                  </w:pPr>
                  <w:r w:rsidRPr="00517EE9">
                    <w:rPr>
                      <w:b/>
                      <w:i/>
                      <w:iCs/>
                      <w:color w:val="808080" w:themeColor="background1" w:themeShade="80"/>
                    </w:rPr>
                    <w:t>W systemie transportowym gminy najważniejszą przestrzennie rolę odgrywa regionalny korytarz transportowy przecinający równoleżnikowo teren miasta i gminy, w którym przebiegają: droga krajowa nr 5 oraz linia kolejowa nr 353. Lokalne powiązania transportowe stanowią drogi powiatowe i gminne, które należy dokapitalizować.</w:t>
                  </w:r>
                </w:p>
                <w:p w:rsidR="00291CA0" w:rsidRPr="00517EE9" w:rsidRDefault="00291CA0" w:rsidP="00517EE9">
                  <w:pPr>
                    <w:spacing w:before="120" w:after="120"/>
                    <w:jc w:val="both"/>
                    <w:rPr>
                      <w:b/>
                      <w:i/>
                      <w:iCs/>
                      <w:color w:val="808080" w:themeColor="background1" w:themeShade="80"/>
                    </w:rPr>
                  </w:pPr>
                  <w:r w:rsidRPr="00517EE9">
                    <w:rPr>
                      <w:b/>
                      <w:i/>
                      <w:iCs/>
                      <w:color w:val="808080" w:themeColor="background1" w:themeShade="80"/>
                    </w:rPr>
                    <w:t>Ze względu na dużą liczbę podróży mieszkańców do Poznania należy zadbać o jakość połączeń drogowych i kolejowych w tym kierunku.</w:t>
                  </w:r>
                </w:p>
              </w:txbxContent>
            </v:textbox>
            <w10:wrap type="none" anchorx="margin" anchory="margin"/>
            <w10:anchorlock/>
          </v:shape>
        </w:pict>
      </w:r>
    </w:p>
    <w:p w:rsidR="009A7ABC" w:rsidRPr="00885434" w:rsidRDefault="00927DA9" w:rsidP="00927DA9">
      <w:pPr>
        <w:pStyle w:val="Nagwek2"/>
        <w:ind w:left="360"/>
        <w:rPr>
          <w:rFonts w:asciiTheme="minorHAnsi" w:hAnsiTheme="minorHAnsi"/>
          <w:color w:val="943634" w:themeColor="accent2" w:themeShade="BF"/>
        </w:rPr>
      </w:pPr>
      <w:bookmarkStart w:id="15" w:name="_Toc321135332"/>
      <w:r w:rsidRPr="00885434">
        <w:rPr>
          <w:rFonts w:asciiTheme="minorHAnsi" w:hAnsiTheme="minorHAnsi"/>
          <w:color w:val="943634" w:themeColor="accent2" w:themeShade="BF"/>
        </w:rPr>
        <w:t xml:space="preserve">5.4 </w:t>
      </w:r>
      <w:r w:rsidR="00585103" w:rsidRPr="00885434">
        <w:rPr>
          <w:rFonts w:asciiTheme="minorHAnsi" w:hAnsiTheme="minorHAnsi"/>
          <w:color w:val="943634" w:themeColor="accent2" w:themeShade="BF"/>
        </w:rPr>
        <w:t>Środowisko naturalne</w:t>
      </w:r>
      <w:bookmarkEnd w:id="15"/>
    </w:p>
    <w:p w:rsidR="00136E7F" w:rsidRPr="00885434" w:rsidRDefault="002C2A4A" w:rsidP="00517EE9">
      <w:pPr>
        <w:spacing w:before="60" w:after="60"/>
        <w:jc w:val="both"/>
      </w:pPr>
      <w:r w:rsidRPr="00885434">
        <w:t xml:space="preserve">Gmina posiada </w:t>
      </w:r>
      <w:r w:rsidR="008E24C0" w:rsidRPr="00885434">
        <w:t>bogate</w:t>
      </w:r>
      <w:r w:rsidRPr="00885434">
        <w:t xml:space="preserve"> zasoby przyrodnicze pod względem szaty roślinnej. Około ¼ powierzchni gminy </w:t>
      </w:r>
      <w:r w:rsidR="008E24C0" w:rsidRPr="00885434">
        <w:t>zajmują</w:t>
      </w:r>
      <w:r w:rsidRPr="00885434">
        <w:t xml:space="preserve"> kompleksy leśne. </w:t>
      </w:r>
      <w:r w:rsidR="00042924" w:rsidRPr="00885434">
        <w:t>Wskaźnik lesistości kształtuje się na poziomie 24,</w:t>
      </w:r>
      <w:r w:rsidRPr="00885434">
        <w:t>4</w:t>
      </w:r>
      <w:r w:rsidR="00042924" w:rsidRPr="00885434">
        <w:t xml:space="preserve">%. </w:t>
      </w:r>
      <w:r w:rsidR="00136E7F" w:rsidRPr="00885434">
        <w:t xml:space="preserve">Na terenie gminy znajdują się trzy parki krajobrazowe: Park Krajobrazowy Promno wraz z otuliną, część Parku Krajobrazowego Puszcza Zielonka wraz z otuliną oraz fragment Lednickiego Parku Krajobrazowego. </w:t>
      </w:r>
      <w:r w:rsidR="00661460">
        <w:br/>
      </w:r>
      <w:r w:rsidR="00042924" w:rsidRPr="00885434">
        <w:t xml:space="preserve">W </w:t>
      </w:r>
      <w:r w:rsidR="00136E7F" w:rsidRPr="00885434">
        <w:t>granicach wymienionych parków</w:t>
      </w:r>
      <w:r w:rsidR="00042924" w:rsidRPr="00885434">
        <w:t xml:space="preserve"> znajduje się prawie 20% powierzchni gminy. </w:t>
      </w:r>
      <w:r w:rsidR="00136E7F" w:rsidRPr="00885434">
        <w:t xml:space="preserve">Istotne jest, że parki wraz z otulinami stanowią 50% powierzchni gminy, która podlega ograniczeniom wynikającym </w:t>
      </w:r>
      <w:r w:rsidR="00661460">
        <w:br/>
      </w:r>
      <w:r w:rsidR="00136E7F" w:rsidRPr="00885434">
        <w:t>z rozporządzeń Wojewody Wielkopolskiego dotyczących utworzenia parków i ustanowienia planów ochrony PK Puszcza Zielonka i PK Promno.</w:t>
      </w:r>
    </w:p>
    <w:p w:rsidR="000E18BD" w:rsidRPr="00885434" w:rsidRDefault="00703095" w:rsidP="00517EE9">
      <w:pPr>
        <w:spacing w:before="60" w:after="60"/>
        <w:jc w:val="both"/>
      </w:pPr>
      <w:r w:rsidRPr="00885434">
        <w:t xml:space="preserve">Najcenniejsze przyrodniczo obszary gminy są objęte różnymi formami ochrony przyrody. Są to przede wszystkim cztery </w:t>
      </w:r>
      <w:r w:rsidR="00042924" w:rsidRPr="00885434">
        <w:t xml:space="preserve">rezerwaty </w:t>
      </w:r>
      <w:r w:rsidR="00D66E16" w:rsidRPr="00885434">
        <w:t>przyrody</w:t>
      </w:r>
      <w:r w:rsidRPr="00885434">
        <w:t>:</w:t>
      </w:r>
      <w:r w:rsidR="00D66E16" w:rsidRPr="00885434">
        <w:t xml:space="preserve"> Jezioro Drążynek,</w:t>
      </w:r>
      <w:r w:rsidR="00042924" w:rsidRPr="00885434">
        <w:t xml:space="preserve"> Jezioro Dębiniec</w:t>
      </w:r>
      <w:r w:rsidR="00D66E16" w:rsidRPr="00885434">
        <w:t xml:space="preserve">, „Las liściasty w Promnie” </w:t>
      </w:r>
      <w:r w:rsidR="00661460">
        <w:br/>
      </w:r>
      <w:r w:rsidR="00D66E16" w:rsidRPr="00885434">
        <w:t>i „Okrąglak”</w:t>
      </w:r>
      <w:r w:rsidR="00042924" w:rsidRPr="00885434">
        <w:t xml:space="preserve">. </w:t>
      </w:r>
      <w:r w:rsidR="00D66E16" w:rsidRPr="00885434">
        <w:t>Ponadto w gminie jest także</w:t>
      </w:r>
      <w:r w:rsidR="00042924" w:rsidRPr="00885434">
        <w:t xml:space="preserve"> </w:t>
      </w:r>
      <w:r w:rsidR="002C2A4A" w:rsidRPr="00885434">
        <w:t>67</w:t>
      </w:r>
      <w:r w:rsidR="00042924" w:rsidRPr="00885434">
        <w:t xml:space="preserve"> pomników przyrody.</w:t>
      </w:r>
      <w:r w:rsidR="00D66E16" w:rsidRPr="00885434">
        <w:t xml:space="preserve"> Są to głównie pojedyncze drzewa </w:t>
      </w:r>
      <w:r w:rsidR="00661460">
        <w:br/>
      </w:r>
      <w:r w:rsidR="00D66E16" w:rsidRPr="00885434">
        <w:t>o wybitnych walorach z uwagi na swój wiek lub rozmiary.</w:t>
      </w:r>
      <w:r w:rsidR="0083585F" w:rsidRPr="00885434">
        <w:t xml:space="preserve"> </w:t>
      </w:r>
      <w:r w:rsidR="000B3163" w:rsidRPr="00885434">
        <w:t xml:space="preserve">W gminie istnieje </w:t>
      </w:r>
      <w:r w:rsidR="0083585F" w:rsidRPr="00885434">
        <w:t xml:space="preserve">także </w:t>
      </w:r>
      <w:r w:rsidR="000B3163" w:rsidRPr="00885434">
        <w:t>13 zabytkowych parków</w:t>
      </w:r>
      <w:r w:rsidR="00336F1F" w:rsidRPr="00885434">
        <w:t xml:space="preserve"> (zajmujących łącznie powierzchnię ok. 45 ha)</w:t>
      </w:r>
      <w:r w:rsidR="000B3163" w:rsidRPr="00885434">
        <w:t>, z których 7 figuruje w rejestrze Wojew</w:t>
      </w:r>
      <w:r w:rsidR="00424ED2" w:rsidRPr="00885434">
        <w:t>ódzkiego Konserwatora Zabytków.</w:t>
      </w:r>
      <w:r w:rsidRPr="00885434">
        <w:t xml:space="preserve"> </w:t>
      </w:r>
      <w:r w:rsidR="00336F1F" w:rsidRPr="00885434">
        <w:t xml:space="preserve">Większość parków stanowi jedyne, bądź główne elementy wysokiej zieleni </w:t>
      </w:r>
      <w:r w:rsidR="00336F1F" w:rsidRPr="00885434">
        <w:lastRenderedPageBreak/>
        <w:t xml:space="preserve">w bezleśnym i płaskim terenie, kształtując naturalny krajobraz gminy. Parki są predestynowane </w:t>
      </w:r>
      <w:r w:rsidR="00661460">
        <w:br/>
      </w:r>
      <w:r w:rsidR="00336F1F" w:rsidRPr="00885434">
        <w:t xml:space="preserve">do pełnienia funkcji rekreacyjnej dla miejscowej ludności oraz miejsca lęgu ptaków. Większość parków jest bardzo zaniedbana, niekonserwowana. Wymagają usunięcia zaśmiecenia, urządzenia (ścieżki, ławki), odbudowy drzewostanu, rewaloryzacji oraz systematycznej pielęgnacji. </w:t>
      </w:r>
      <w:r w:rsidR="000E18BD" w:rsidRPr="00885434">
        <w:t xml:space="preserve">Bogactwo zasobów przyrody przy jednoczesnym stosunkowo niskim stopniu jego przekształcenia sprawia, </w:t>
      </w:r>
      <w:r w:rsidR="00661460">
        <w:br/>
      </w:r>
      <w:r w:rsidR="000E18BD" w:rsidRPr="00885434">
        <w:t>iż gmina Pobiedziska to jeden z najatrakcyjniejszych krajobrazowo rejonów Wielkopolski.</w:t>
      </w:r>
    </w:p>
    <w:p w:rsidR="009A2EE9" w:rsidRDefault="009A2EE9" w:rsidP="009A2EE9">
      <w:pPr>
        <w:pStyle w:val="Legenda"/>
        <w:spacing w:after="0"/>
        <w:rPr>
          <w:b w:val="0"/>
          <w:color w:val="auto"/>
          <w:sz w:val="20"/>
          <w:szCs w:val="20"/>
        </w:rPr>
      </w:pPr>
      <w:r w:rsidRPr="00517EE9">
        <w:rPr>
          <w:b w:val="0"/>
          <w:color w:val="auto"/>
          <w:sz w:val="20"/>
          <w:szCs w:val="20"/>
        </w:rPr>
        <w:t xml:space="preserve">Rysunek </w:t>
      </w:r>
      <w:r w:rsidR="00E07640" w:rsidRPr="00517EE9">
        <w:rPr>
          <w:b w:val="0"/>
          <w:color w:val="auto"/>
          <w:sz w:val="20"/>
          <w:szCs w:val="20"/>
        </w:rPr>
        <w:fldChar w:fldCharType="begin"/>
      </w:r>
      <w:r w:rsidRPr="00517EE9">
        <w:rPr>
          <w:b w:val="0"/>
          <w:color w:val="auto"/>
          <w:sz w:val="20"/>
          <w:szCs w:val="20"/>
        </w:rPr>
        <w:instrText xml:space="preserve"> SEQ Rysunek \* ARABIC </w:instrText>
      </w:r>
      <w:r w:rsidR="00E07640" w:rsidRPr="00517EE9">
        <w:rPr>
          <w:b w:val="0"/>
          <w:color w:val="auto"/>
          <w:sz w:val="20"/>
          <w:szCs w:val="20"/>
        </w:rPr>
        <w:fldChar w:fldCharType="separate"/>
      </w:r>
      <w:r w:rsidR="00782286">
        <w:rPr>
          <w:b w:val="0"/>
          <w:noProof/>
          <w:color w:val="auto"/>
          <w:sz w:val="20"/>
          <w:szCs w:val="20"/>
        </w:rPr>
        <w:t>4</w:t>
      </w:r>
      <w:r w:rsidR="00E07640" w:rsidRPr="00517EE9">
        <w:rPr>
          <w:b w:val="0"/>
          <w:color w:val="auto"/>
          <w:sz w:val="20"/>
          <w:szCs w:val="20"/>
        </w:rPr>
        <w:fldChar w:fldCharType="end"/>
      </w:r>
      <w:r w:rsidRPr="00517EE9">
        <w:rPr>
          <w:b w:val="0"/>
          <w:color w:val="auto"/>
          <w:sz w:val="20"/>
          <w:szCs w:val="20"/>
        </w:rPr>
        <w:t>. Obszary Natura 2000.</w:t>
      </w:r>
    </w:p>
    <w:p w:rsidR="0031696F" w:rsidRPr="00885434" w:rsidRDefault="00CE2F31" w:rsidP="00CE2F31">
      <w:pPr>
        <w:spacing w:after="0"/>
      </w:pPr>
      <w:r>
        <w:rPr>
          <w:noProof/>
        </w:rPr>
        <w:drawing>
          <wp:inline distT="0" distB="0" distL="0" distR="0">
            <wp:extent cx="5760720" cy="4074795"/>
            <wp:effectExtent l="19050" t="0" r="0" b="0"/>
            <wp:docPr id="49" name="Obraz 48" descr="Natura 2000_ostoja k.Prom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 2000_ostoja k.Promna.png"/>
                    <pic:cNvPicPr/>
                  </pic:nvPicPr>
                  <pic:blipFill>
                    <a:blip r:embed="rId34" cstate="print"/>
                    <a:stretch>
                      <a:fillRect/>
                    </a:stretch>
                  </pic:blipFill>
                  <pic:spPr>
                    <a:xfrm>
                      <a:off x="0" y="0"/>
                      <a:ext cx="5760720" cy="4074795"/>
                    </a:xfrm>
                    <a:prstGeom prst="rect">
                      <a:avLst/>
                    </a:prstGeom>
                  </pic:spPr>
                </pic:pic>
              </a:graphicData>
            </a:graphic>
          </wp:inline>
        </w:drawing>
      </w:r>
    </w:p>
    <w:p w:rsidR="0031696F" w:rsidRPr="00517EE9" w:rsidRDefault="0031696F" w:rsidP="00517EE9">
      <w:pPr>
        <w:spacing w:after="0"/>
        <w:jc w:val="both"/>
        <w:rPr>
          <w:sz w:val="20"/>
          <w:szCs w:val="20"/>
        </w:rPr>
      </w:pPr>
      <w:r w:rsidRPr="00517EE9">
        <w:rPr>
          <w:sz w:val="20"/>
          <w:szCs w:val="20"/>
        </w:rPr>
        <w:t>Źródło: http://natura2000.gdos.gov.pl/natura2000/pl</w:t>
      </w:r>
    </w:p>
    <w:p w:rsidR="00982840" w:rsidRPr="00885434" w:rsidRDefault="00097BE8" w:rsidP="00517EE9">
      <w:pPr>
        <w:spacing w:before="60" w:after="60"/>
        <w:jc w:val="both"/>
        <w:rPr>
          <w:noProof/>
        </w:rPr>
      </w:pPr>
      <w:r>
        <w:rPr>
          <w:noProof/>
        </w:rPr>
        <w:t>Na początku 2011</w:t>
      </w:r>
      <w:r w:rsidR="00982840" w:rsidRPr="00885434">
        <w:rPr>
          <w:noProof/>
        </w:rPr>
        <w:t xml:space="preserve"> r. następujące obszary</w:t>
      </w:r>
      <w:r>
        <w:rPr>
          <w:noProof/>
        </w:rPr>
        <w:t xml:space="preserve"> zostały zatwierdzone jako obszary o znaczeniu wspólnotowym (OZW)</w:t>
      </w:r>
      <w:r w:rsidR="00982840" w:rsidRPr="00885434">
        <w:rPr>
          <w:noProof/>
        </w:rPr>
        <w:t>:</w:t>
      </w:r>
    </w:p>
    <w:p w:rsidR="00982840" w:rsidRPr="00FE77BF" w:rsidRDefault="00FE77BF" w:rsidP="00FE77BF">
      <w:pPr>
        <w:pStyle w:val="Akapitzlist"/>
        <w:numPr>
          <w:ilvl w:val="0"/>
          <w:numId w:val="2"/>
        </w:numPr>
        <w:spacing w:before="60" w:after="60"/>
        <w:jc w:val="both"/>
        <w:rPr>
          <w:rFonts w:asciiTheme="minorHAnsi" w:hAnsiTheme="minorHAnsi" w:cs="Tahoma"/>
          <w:noProof/>
          <w:sz w:val="22"/>
        </w:rPr>
      </w:pPr>
      <w:r>
        <w:rPr>
          <w:rFonts w:asciiTheme="minorHAnsi" w:hAnsiTheme="minorHAnsi" w:cs="Tahoma"/>
          <w:noProof/>
          <w:sz w:val="22"/>
        </w:rPr>
        <w:t>„Dolina Cybiny” -</w:t>
      </w:r>
      <w:r w:rsidR="00982840" w:rsidRPr="00885434">
        <w:rPr>
          <w:rFonts w:asciiTheme="minorHAnsi" w:hAnsiTheme="minorHAnsi" w:cs="Tahoma"/>
          <w:noProof/>
          <w:sz w:val="22"/>
        </w:rPr>
        <w:t xml:space="preserve"> obejmuj</w:t>
      </w:r>
      <w:r>
        <w:rPr>
          <w:rFonts w:asciiTheme="minorHAnsi" w:hAnsiTheme="minorHAnsi" w:cs="Tahoma"/>
          <w:noProof/>
          <w:sz w:val="22"/>
        </w:rPr>
        <w:t>e</w:t>
      </w:r>
      <w:r w:rsidR="00982840" w:rsidRPr="00885434">
        <w:rPr>
          <w:rFonts w:asciiTheme="minorHAnsi" w:hAnsiTheme="minorHAnsi" w:cs="Tahoma"/>
          <w:noProof/>
          <w:sz w:val="22"/>
        </w:rPr>
        <w:t xml:space="preserve"> całą dolinę w ciągu kilku gmin, w tym takż</w:t>
      </w:r>
      <w:r>
        <w:rPr>
          <w:rFonts w:asciiTheme="minorHAnsi" w:hAnsiTheme="minorHAnsi" w:cs="Tahoma"/>
          <w:noProof/>
          <w:sz w:val="22"/>
        </w:rPr>
        <w:t xml:space="preserve">e w gminie Pobiedziska. </w:t>
      </w:r>
      <w:r w:rsidRPr="00FE77BF">
        <w:rPr>
          <w:rFonts w:asciiTheme="minorHAnsi" w:hAnsiTheme="minorHAnsi" w:cs="Tahoma"/>
          <w:noProof/>
          <w:sz w:val="22"/>
        </w:rPr>
        <w:t>Obszar doliny Cybiny należy do niezwykle cennych z przyrodniczego punktu widzenia. Decyduje o tym duża różnorodność i</w:t>
      </w:r>
      <w:r>
        <w:rPr>
          <w:rFonts w:asciiTheme="minorHAnsi" w:hAnsiTheme="minorHAnsi" w:cs="Tahoma"/>
          <w:noProof/>
          <w:sz w:val="22"/>
        </w:rPr>
        <w:t xml:space="preserve"> </w:t>
      </w:r>
      <w:r w:rsidRPr="00FE77BF">
        <w:rPr>
          <w:rFonts w:asciiTheme="minorHAnsi" w:hAnsiTheme="minorHAnsi" w:cs="Tahoma"/>
          <w:noProof/>
          <w:sz w:val="22"/>
        </w:rPr>
        <w:t>mozaikowe rozmieszczenie siedlisk, co sprzyja dużemu bogactwu gatunkowemu roślin i zwierząt oraz ich zbiorowisk.</w:t>
      </w:r>
    </w:p>
    <w:p w:rsidR="00982840" w:rsidRPr="00FE77BF" w:rsidRDefault="00FE77BF" w:rsidP="00FE77BF">
      <w:pPr>
        <w:pStyle w:val="Akapitzlist"/>
        <w:numPr>
          <w:ilvl w:val="0"/>
          <w:numId w:val="2"/>
        </w:numPr>
        <w:spacing w:before="60" w:after="60"/>
        <w:jc w:val="both"/>
        <w:rPr>
          <w:rFonts w:asciiTheme="minorHAnsi" w:hAnsiTheme="minorHAnsi" w:cs="Tahoma"/>
          <w:noProof/>
          <w:sz w:val="22"/>
        </w:rPr>
      </w:pPr>
      <w:r>
        <w:rPr>
          <w:rFonts w:asciiTheme="minorHAnsi" w:hAnsiTheme="minorHAnsi" w:cs="Tahoma"/>
          <w:noProof/>
          <w:sz w:val="22"/>
        </w:rPr>
        <w:t>„Ostoja koło Promna” - zasadniczo w całości mieści</w:t>
      </w:r>
      <w:r w:rsidR="00982840" w:rsidRPr="00885434">
        <w:rPr>
          <w:rFonts w:asciiTheme="minorHAnsi" w:hAnsiTheme="minorHAnsi" w:cs="Tahoma"/>
          <w:noProof/>
          <w:sz w:val="22"/>
        </w:rPr>
        <w:t xml:space="preserve"> się w granic</w:t>
      </w:r>
      <w:r>
        <w:rPr>
          <w:rFonts w:asciiTheme="minorHAnsi" w:hAnsiTheme="minorHAnsi" w:cs="Tahoma"/>
          <w:noProof/>
          <w:sz w:val="22"/>
        </w:rPr>
        <w:t xml:space="preserve">ach Parku Krajobrazowego Promno. </w:t>
      </w:r>
      <w:r w:rsidRPr="00FE77BF">
        <w:rPr>
          <w:rFonts w:asciiTheme="minorHAnsi" w:hAnsiTheme="minorHAnsi" w:cs="Tahoma"/>
          <w:noProof/>
          <w:sz w:val="22"/>
        </w:rPr>
        <w:t>Największe znaczenie mają tu d</w:t>
      </w:r>
      <w:r>
        <w:rPr>
          <w:rFonts w:asciiTheme="minorHAnsi" w:hAnsiTheme="minorHAnsi" w:cs="Tahoma"/>
          <w:noProof/>
          <w:sz w:val="22"/>
        </w:rPr>
        <w:t xml:space="preserve">uże kompleksy lasów liściastych oraz </w:t>
      </w:r>
      <w:r w:rsidRPr="00FE77BF">
        <w:rPr>
          <w:rFonts w:asciiTheme="minorHAnsi" w:hAnsiTheme="minorHAnsi" w:cs="Tahoma"/>
          <w:noProof/>
          <w:sz w:val="22"/>
        </w:rPr>
        <w:t>kilkanaście</w:t>
      </w:r>
      <w:r>
        <w:rPr>
          <w:rFonts w:asciiTheme="minorHAnsi" w:hAnsiTheme="minorHAnsi" w:cs="Tahoma"/>
          <w:noProof/>
          <w:sz w:val="22"/>
        </w:rPr>
        <w:t xml:space="preserve"> gatunków cennych przyrodniczo roślin i zwierząt</w:t>
      </w:r>
      <w:r w:rsidRPr="00FE77BF">
        <w:rPr>
          <w:rFonts w:asciiTheme="minorHAnsi" w:hAnsiTheme="minorHAnsi" w:cs="Tahoma"/>
          <w:noProof/>
          <w:sz w:val="22"/>
        </w:rPr>
        <w:t xml:space="preserve"> z Polskiej Czerwonej Listy, rzadkich i zagrożonych w regionie</w:t>
      </w:r>
      <w:r>
        <w:rPr>
          <w:rFonts w:asciiTheme="minorHAnsi" w:hAnsiTheme="minorHAnsi" w:cs="Tahoma"/>
          <w:noProof/>
          <w:sz w:val="22"/>
        </w:rPr>
        <w:t>.</w:t>
      </w:r>
    </w:p>
    <w:p w:rsidR="00982840" w:rsidRPr="00196057" w:rsidRDefault="00982840" w:rsidP="00196057">
      <w:pPr>
        <w:pStyle w:val="Akapitzlist"/>
        <w:numPr>
          <w:ilvl w:val="0"/>
          <w:numId w:val="2"/>
        </w:numPr>
        <w:spacing w:before="60" w:after="60" w:line="276" w:lineRule="auto"/>
        <w:jc w:val="both"/>
        <w:rPr>
          <w:rFonts w:cs="Tahoma"/>
          <w:noProof/>
        </w:rPr>
      </w:pPr>
      <w:r w:rsidRPr="00885434">
        <w:rPr>
          <w:rFonts w:asciiTheme="minorHAnsi" w:hAnsiTheme="minorHAnsi" w:cs="Tahoma"/>
          <w:noProof/>
          <w:sz w:val="22"/>
        </w:rPr>
        <w:t>„Uroczyska Puszcz</w:t>
      </w:r>
      <w:r w:rsidR="00720C83">
        <w:rPr>
          <w:rFonts w:asciiTheme="minorHAnsi" w:hAnsiTheme="minorHAnsi" w:cs="Tahoma"/>
          <w:noProof/>
          <w:sz w:val="22"/>
        </w:rPr>
        <w:t xml:space="preserve">y Zielonki” – obszar </w:t>
      </w:r>
      <w:r w:rsidRPr="00885434">
        <w:rPr>
          <w:rFonts w:asciiTheme="minorHAnsi" w:hAnsiTheme="minorHAnsi" w:cs="Tahoma"/>
          <w:noProof/>
          <w:sz w:val="22"/>
        </w:rPr>
        <w:t>niewielkim</w:t>
      </w:r>
      <w:r w:rsidR="00720C83">
        <w:rPr>
          <w:rFonts w:asciiTheme="minorHAnsi" w:hAnsiTheme="minorHAnsi" w:cs="Tahoma"/>
          <w:noProof/>
          <w:sz w:val="22"/>
        </w:rPr>
        <w:t>,</w:t>
      </w:r>
      <w:r w:rsidRPr="00885434">
        <w:rPr>
          <w:rFonts w:asciiTheme="minorHAnsi" w:hAnsiTheme="minorHAnsi" w:cs="Tahoma"/>
          <w:noProof/>
          <w:sz w:val="22"/>
        </w:rPr>
        <w:t xml:space="preserve"> południowym fragmentem s</w:t>
      </w:r>
      <w:r w:rsidR="00720C83">
        <w:rPr>
          <w:rFonts w:asciiTheme="minorHAnsi" w:hAnsiTheme="minorHAnsi" w:cs="Tahoma"/>
          <w:noProof/>
          <w:sz w:val="22"/>
        </w:rPr>
        <w:t xml:space="preserve">ięga na teren gminy Pobiedziska, </w:t>
      </w:r>
      <w:r w:rsidR="00720C83" w:rsidRPr="00720C83">
        <w:rPr>
          <w:rFonts w:asciiTheme="minorHAnsi" w:hAnsiTheme="minorHAnsi" w:cs="Tahoma"/>
          <w:noProof/>
          <w:sz w:val="22"/>
        </w:rPr>
        <w:t>ma duże znaczenie dla ochrony najcenniejszych fragmentów ekosystemów wodnych</w:t>
      </w:r>
      <w:r w:rsidR="00196057">
        <w:rPr>
          <w:rFonts w:asciiTheme="minorHAnsi" w:hAnsiTheme="minorHAnsi" w:cs="Tahoma"/>
          <w:noProof/>
          <w:sz w:val="22"/>
        </w:rPr>
        <w:t xml:space="preserve">, </w:t>
      </w:r>
      <w:r w:rsidR="00720C83" w:rsidRPr="00196057">
        <w:rPr>
          <w:rFonts w:asciiTheme="minorHAnsi" w:hAnsiTheme="minorHAnsi" w:cs="Tahoma"/>
          <w:noProof/>
          <w:sz w:val="22"/>
        </w:rPr>
        <w:t>bagiennych i leśnych na terenie największego kompleksu lasów w okolicach Poznania.</w:t>
      </w:r>
    </w:p>
    <w:p w:rsidR="00982840" w:rsidRPr="00885434" w:rsidRDefault="00982840" w:rsidP="00517EE9">
      <w:pPr>
        <w:spacing w:before="60" w:after="60"/>
        <w:jc w:val="both"/>
        <w:rPr>
          <w:noProof/>
        </w:rPr>
      </w:pPr>
      <w:r w:rsidRPr="00885434">
        <w:rPr>
          <w:noProof/>
        </w:rPr>
        <w:lastRenderedPageBreak/>
        <w:t>Utworzenie Specjalnych Obszarów Ochrony Natura 2000 ma na celu przede wszystkim zapobiegać przekształceniom siedlisk i niekorzystnym zmianom w obrębie populacji roślin i zwierząt, a także przyczyniać się do renaturyzacji biotopów i wspierać restytucję gatunków.</w:t>
      </w:r>
    </w:p>
    <w:p w:rsidR="00882524" w:rsidRDefault="00A31A0C" w:rsidP="00517EE9">
      <w:pPr>
        <w:spacing w:before="60" w:after="60"/>
        <w:jc w:val="both"/>
      </w:pPr>
      <w:r w:rsidRPr="00885434">
        <w:t xml:space="preserve">Gmina charakteryzuje się znaczną ilością jezior i zbiorników wodnych, atrakcyjnych pod względem turystycznym z uwagi na otoczenie lasów. </w:t>
      </w:r>
      <w:r w:rsidR="00585103" w:rsidRPr="00885434">
        <w:t xml:space="preserve">Przeważają zbiorniki małe </w:t>
      </w:r>
      <w:r w:rsidR="00882524">
        <w:t xml:space="preserve">o powierzchni poniżej 10 ha. </w:t>
      </w:r>
      <w:r w:rsidR="00882524" w:rsidRPr="00882524">
        <w:t>Do średnich można zaliczyć akweny o powierzchni 10-</w:t>
      </w:r>
      <w:smartTag w:uri="urn:schemas-microsoft-com:office:smarttags" w:element="metricconverter">
        <w:smartTagPr>
          <w:attr w:name="ProductID" w:val="30 ha"/>
        </w:smartTagPr>
        <w:r w:rsidR="00882524" w:rsidRPr="00882524">
          <w:t>30 ha</w:t>
        </w:r>
      </w:smartTag>
      <w:r w:rsidR="00882524" w:rsidRPr="00882524">
        <w:t>. W przypadku jezior znajdujących się na terenie Gminy Pobiedziska tą kategorię spełniają: Dębiniec (15,0 ha), Dobre (11,5 ha), Tuczno (12,5 ha) oraz Wronczyńskie Małe (18,5 ha). Największym zbiornikiem jest jezioro Stęszewskie (</w:t>
      </w:r>
      <w:smartTag w:uri="urn:schemas-microsoft-com:office:smarttags" w:element="metricconverter">
        <w:smartTagPr>
          <w:attr w:name="ProductID" w:val="86ﾠha"/>
        </w:smartTagPr>
        <w:r w:rsidR="00882524" w:rsidRPr="00882524">
          <w:t>86 ha</w:t>
        </w:r>
      </w:smartTag>
      <w:r w:rsidR="00882524" w:rsidRPr="00882524">
        <w:t>). Do dużych akwenów wodnych można ponadto zaliczyć: Biezdruchowo (37,5 ha), Górę (32,5 ha), Jerzyńskie (37,5 ha) oraz Wroczyńskie Duże (36,5 ha). Dodatkowo</w:t>
      </w:r>
      <w:r w:rsidR="00882524">
        <w:t xml:space="preserve"> istnieje duży </w:t>
      </w:r>
      <w:r w:rsidR="00882524" w:rsidRPr="00882524">
        <w:t>zbiorn</w:t>
      </w:r>
      <w:r w:rsidR="00745893">
        <w:t>ik retencyjny jezioro Kowalskie</w:t>
      </w:r>
      <w:r w:rsidR="00882524" w:rsidRPr="00882524">
        <w:t>.</w:t>
      </w:r>
    </w:p>
    <w:p w:rsidR="00882524" w:rsidRPr="00882524" w:rsidRDefault="00882524" w:rsidP="00882524">
      <w:pPr>
        <w:pStyle w:val="Legenda"/>
        <w:spacing w:after="0"/>
        <w:rPr>
          <w:b w:val="0"/>
          <w:color w:val="auto"/>
          <w:sz w:val="20"/>
        </w:rPr>
      </w:pPr>
      <w:r w:rsidRPr="00882524">
        <w:rPr>
          <w:b w:val="0"/>
          <w:color w:val="auto"/>
          <w:sz w:val="20"/>
        </w:rPr>
        <w:t xml:space="preserve">Tabela </w:t>
      </w:r>
      <w:r w:rsidR="00E07640" w:rsidRPr="00882524">
        <w:rPr>
          <w:b w:val="0"/>
          <w:color w:val="auto"/>
          <w:sz w:val="20"/>
        </w:rPr>
        <w:fldChar w:fldCharType="begin"/>
      </w:r>
      <w:r w:rsidRPr="00882524">
        <w:rPr>
          <w:b w:val="0"/>
          <w:color w:val="auto"/>
          <w:sz w:val="20"/>
        </w:rPr>
        <w:instrText xml:space="preserve"> SEQ Tabela \* ARABIC </w:instrText>
      </w:r>
      <w:r w:rsidR="00E07640" w:rsidRPr="00882524">
        <w:rPr>
          <w:b w:val="0"/>
          <w:color w:val="auto"/>
          <w:sz w:val="20"/>
        </w:rPr>
        <w:fldChar w:fldCharType="separate"/>
      </w:r>
      <w:r w:rsidR="00745893">
        <w:rPr>
          <w:b w:val="0"/>
          <w:noProof/>
          <w:color w:val="auto"/>
          <w:sz w:val="20"/>
        </w:rPr>
        <w:t>1</w:t>
      </w:r>
      <w:r w:rsidR="00E07640" w:rsidRPr="00882524">
        <w:rPr>
          <w:b w:val="0"/>
          <w:color w:val="auto"/>
          <w:sz w:val="20"/>
        </w:rPr>
        <w:fldChar w:fldCharType="end"/>
      </w:r>
      <w:r w:rsidRPr="00882524">
        <w:rPr>
          <w:b w:val="0"/>
          <w:color w:val="auto"/>
          <w:sz w:val="20"/>
        </w:rPr>
        <w:t>. Jeziora w Gminie Pobiedziska.</w:t>
      </w:r>
    </w:p>
    <w:tbl>
      <w:tblPr>
        <w:tblStyle w:val="Jasnasiatka"/>
        <w:tblW w:w="5000" w:type="pct"/>
        <w:tblLook w:val="01E0"/>
      </w:tblPr>
      <w:tblGrid>
        <w:gridCol w:w="533"/>
        <w:gridCol w:w="2417"/>
        <w:gridCol w:w="1274"/>
        <w:gridCol w:w="1274"/>
        <w:gridCol w:w="1131"/>
        <w:gridCol w:w="1702"/>
        <w:gridCol w:w="957"/>
      </w:tblGrid>
      <w:tr w:rsidR="0015257C" w:rsidRPr="0015257C" w:rsidTr="0015257C">
        <w:trPr>
          <w:cnfStyle w:val="100000000000"/>
        </w:trPr>
        <w:tc>
          <w:tcPr>
            <w:cnfStyle w:val="001000000000"/>
            <w:tcW w:w="287" w:type="pct"/>
            <w:shd w:val="clear" w:color="auto" w:fill="F2F2F2" w:themeFill="background1" w:themeFillShade="F2"/>
          </w:tcPr>
          <w:p w:rsidR="00882524" w:rsidRPr="0015257C" w:rsidRDefault="00882524" w:rsidP="00745893">
            <w:pPr>
              <w:spacing w:after="20"/>
              <w:jc w:val="center"/>
              <w:rPr>
                <w:rFonts w:asciiTheme="minorHAnsi" w:hAnsiTheme="minorHAnsi"/>
                <w:sz w:val="20"/>
                <w:szCs w:val="20"/>
              </w:rPr>
            </w:pPr>
            <w:r w:rsidRPr="0015257C">
              <w:rPr>
                <w:rFonts w:asciiTheme="minorHAnsi" w:hAnsiTheme="minorHAnsi"/>
                <w:sz w:val="20"/>
                <w:szCs w:val="20"/>
              </w:rPr>
              <w:t>Lp.</w:t>
            </w:r>
          </w:p>
        </w:tc>
        <w:tc>
          <w:tcPr>
            <w:cnfStyle w:val="000010000000"/>
            <w:tcW w:w="1301" w:type="pct"/>
            <w:shd w:val="clear" w:color="auto" w:fill="F2F2F2" w:themeFill="background1" w:themeFillShade="F2"/>
          </w:tcPr>
          <w:p w:rsidR="00882524" w:rsidRPr="0015257C" w:rsidRDefault="00882524" w:rsidP="00745893">
            <w:pPr>
              <w:spacing w:after="20"/>
              <w:jc w:val="center"/>
              <w:rPr>
                <w:rFonts w:asciiTheme="minorHAnsi" w:hAnsiTheme="minorHAnsi"/>
                <w:sz w:val="20"/>
                <w:szCs w:val="20"/>
              </w:rPr>
            </w:pPr>
            <w:r w:rsidRPr="0015257C">
              <w:rPr>
                <w:rFonts w:asciiTheme="minorHAnsi" w:hAnsiTheme="minorHAnsi"/>
                <w:sz w:val="20"/>
                <w:szCs w:val="20"/>
              </w:rPr>
              <w:t>Nazwa</w:t>
            </w:r>
          </w:p>
        </w:tc>
        <w:tc>
          <w:tcPr>
            <w:tcW w:w="686" w:type="pct"/>
            <w:shd w:val="clear" w:color="auto" w:fill="F2F2F2" w:themeFill="background1" w:themeFillShade="F2"/>
          </w:tcPr>
          <w:p w:rsidR="00882524" w:rsidRPr="0015257C" w:rsidRDefault="0015257C" w:rsidP="00745893">
            <w:pPr>
              <w:spacing w:after="20"/>
              <w:ind w:left="-57" w:right="-57"/>
              <w:jc w:val="center"/>
              <w:cnfStyle w:val="100000000000"/>
              <w:rPr>
                <w:rFonts w:asciiTheme="minorHAnsi" w:hAnsiTheme="minorHAnsi"/>
                <w:sz w:val="20"/>
                <w:szCs w:val="20"/>
              </w:rPr>
            </w:pPr>
            <w:r>
              <w:rPr>
                <w:rFonts w:asciiTheme="minorHAnsi" w:hAnsiTheme="minorHAnsi"/>
                <w:sz w:val="20"/>
                <w:szCs w:val="20"/>
              </w:rPr>
              <w:t xml:space="preserve">Powierzchnia wody </w:t>
            </w:r>
            <w:r w:rsidR="00882524" w:rsidRPr="0015257C">
              <w:rPr>
                <w:rFonts w:asciiTheme="minorHAnsi" w:hAnsiTheme="minorHAnsi"/>
                <w:sz w:val="20"/>
                <w:szCs w:val="20"/>
              </w:rPr>
              <w:t>[ha]</w:t>
            </w:r>
          </w:p>
        </w:tc>
        <w:tc>
          <w:tcPr>
            <w:cnfStyle w:val="000010000000"/>
            <w:tcW w:w="686" w:type="pct"/>
            <w:shd w:val="clear" w:color="auto" w:fill="F2F2F2" w:themeFill="background1" w:themeFillShade="F2"/>
          </w:tcPr>
          <w:p w:rsidR="00882524" w:rsidRPr="0015257C" w:rsidRDefault="00882524" w:rsidP="00745893">
            <w:pPr>
              <w:spacing w:after="20"/>
              <w:jc w:val="center"/>
              <w:rPr>
                <w:rFonts w:asciiTheme="minorHAnsi" w:hAnsiTheme="minorHAnsi"/>
                <w:sz w:val="20"/>
                <w:szCs w:val="20"/>
              </w:rPr>
            </w:pPr>
            <w:r w:rsidRPr="0015257C">
              <w:rPr>
                <w:rFonts w:asciiTheme="minorHAnsi" w:hAnsiTheme="minorHAnsi"/>
                <w:sz w:val="20"/>
                <w:szCs w:val="20"/>
              </w:rPr>
              <w:t>Wysokość w m n.p.m.</w:t>
            </w:r>
          </w:p>
        </w:tc>
        <w:tc>
          <w:tcPr>
            <w:tcW w:w="609" w:type="pct"/>
            <w:shd w:val="clear" w:color="auto" w:fill="F2F2F2" w:themeFill="background1" w:themeFillShade="F2"/>
          </w:tcPr>
          <w:p w:rsidR="00882524" w:rsidRPr="0015257C" w:rsidRDefault="00882524" w:rsidP="0015257C">
            <w:pPr>
              <w:spacing w:after="20"/>
              <w:ind w:left="-111"/>
              <w:jc w:val="center"/>
              <w:cnfStyle w:val="100000000000"/>
              <w:rPr>
                <w:rFonts w:asciiTheme="minorHAnsi" w:hAnsiTheme="minorHAnsi"/>
                <w:sz w:val="20"/>
                <w:szCs w:val="20"/>
              </w:rPr>
            </w:pPr>
            <w:r w:rsidRPr="0015257C">
              <w:rPr>
                <w:rFonts w:asciiTheme="minorHAnsi" w:hAnsiTheme="minorHAnsi"/>
                <w:sz w:val="20"/>
                <w:szCs w:val="20"/>
              </w:rPr>
              <w:t>Głębokość średnia [m]</w:t>
            </w:r>
          </w:p>
        </w:tc>
        <w:tc>
          <w:tcPr>
            <w:cnfStyle w:val="000010000000"/>
            <w:tcW w:w="916" w:type="pct"/>
            <w:shd w:val="clear" w:color="auto" w:fill="F2F2F2" w:themeFill="background1" w:themeFillShade="F2"/>
          </w:tcPr>
          <w:p w:rsidR="00882524" w:rsidRPr="0015257C" w:rsidRDefault="0015257C" w:rsidP="00745893">
            <w:pPr>
              <w:spacing w:after="20"/>
              <w:jc w:val="center"/>
              <w:rPr>
                <w:rFonts w:asciiTheme="minorHAnsi" w:hAnsiTheme="minorHAnsi"/>
                <w:sz w:val="20"/>
                <w:szCs w:val="20"/>
              </w:rPr>
            </w:pPr>
            <w:r>
              <w:rPr>
                <w:rFonts w:asciiTheme="minorHAnsi" w:hAnsiTheme="minorHAnsi"/>
                <w:sz w:val="20"/>
                <w:szCs w:val="20"/>
              </w:rPr>
              <w:t xml:space="preserve">Głębokość maksymalna </w:t>
            </w:r>
            <w:r w:rsidR="00882524" w:rsidRPr="0015257C">
              <w:rPr>
                <w:rFonts w:asciiTheme="minorHAnsi" w:hAnsiTheme="minorHAnsi"/>
                <w:sz w:val="20"/>
                <w:szCs w:val="20"/>
              </w:rPr>
              <w:t>[m]</w:t>
            </w:r>
          </w:p>
        </w:tc>
        <w:tc>
          <w:tcPr>
            <w:cnfStyle w:val="000100000000"/>
            <w:tcW w:w="515" w:type="pct"/>
            <w:shd w:val="clear" w:color="auto" w:fill="F2F2F2" w:themeFill="background1" w:themeFillShade="F2"/>
          </w:tcPr>
          <w:p w:rsidR="00882524" w:rsidRPr="0015257C" w:rsidRDefault="0015257C" w:rsidP="00745893">
            <w:pPr>
              <w:spacing w:after="20"/>
              <w:jc w:val="center"/>
              <w:rPr>
                <w:rFonts w:asciiTheme="minorHAnsi" w:hAnsiTheme="minorHAnsi"/>
                <w:sz w:val="20"/>
                <w:szCs w:val="20"/>
              </w:rPr>
            </w:pPr>
            <w:r>
              <w:rPr>
                <w:rFonts w:asciiTheme="minorHAnsi" w:hAnsiTheme="minorHAnsi"/>
                <w:sz w:val="20"/>
                <w:szCs w:val="20"/>
              </w:rPr>
              <w:t xml:space="preserve">Objętość </w:t>
            </w:r>
            <w:r w:rsidR="00882524" w:rsidRPr="0015257C">
              <w:rPr>
                <w:rFonts w:asciiTheme="minorHAnsi" w:hAnsiTheme="minorHAnsi"/>
                <w:sz w:val="20"/>
                <w:szCs w:val="20"/>
              </w:rPr>
              <w:t>[tys. m</w:t>
            </w:r>
            <w:r w:rsidR="00882524" w:rsidRPr="0015257C">
              <w:rPr>
                <w:rFonts w:asciiTheme="minorHAnsi" w:hAnsiTheme="minorHAnsi"/>
                <w:sz w:val="20"/>
                <w:szCs w:val="20"/>
                <w:vertAlign w:val="superscript"/>
              </w:rPr>
              <w:t>3</w:t>
            </w:r>
            <w:r w:rsidR="00882524" w:rsidRPr="0015257C">
              <w:rPr>
                <w:rFonts w:asciiTheme="minorHAnsi" w:hAnsiTheme="minorHAnsi"/>
                <w:sz w:val="20"/>
                <w:szCs w:val="20"/>
              </w:rPr>
              <w:t>]</w:t>
            </w:r>
          </w:p>
        </w:tc>
      </w:tr>
      <w:tr w:rsidR="0015257C" w:rsidRPr="0015257C" w:rsidTr="0015257C">
        <w:trPr>
          <w:cnfStyle w:val="00000010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1.</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Kowalskie jezioro</w:t>
            </w:r>
          </w:p>
          <w:p w:rsidR="00882524" w:rsidRPr="0015257C" w:rsidRDefault="00882524" w:rsidP="00745893">
            <w:pPr>
              <w:spacing w:after="20"/>
              <w:rPr>
                <w:sz w:val="20"/>
                <w:szCs w:val="20"/>
              </w:rPr>
            </w:pPr>
            <w:r w:rsidRPr="0015257C">
              <w:rPr>
                <w:sz w:val="20"/>
                <w:szCs w:val="20"/>
              </w:rPr>
              <w:t>Kowalskie zbiornik</w:t>
            </w:r>
          </w:p>
        </w:tc>
        <w:tc>
          <w:tcPr>
            <w:tcW w:w="686"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(11,0)</w:t>
            </w:r>
          </w:p>
          <w:p w:rsidR="00882524" w:rsidRPr="0015257C" w:rsidRDefault="00882524" w:rsidP="00745893">
            <w:pPr>
              <w:spacing w:after="20"/>
              <w:jc w:val="center"/>
              <w:cnfStyle w:val="000000100000"/>
              <w:rPr>
                <w:sz w:val="20"/>
                <w:szCs w:val="20"/>
              </w:rPr>
            </w:pPr>
            <w:r w:rsidRPr="0015257C">
              <w:rPr>
                <w:sz w:val="20"/>
                <w:szCs w:val="20"/>
              </w:rPr>
              <w:t>203,0</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(82,1)</w:t>
            </w:r>
          </w:p>
          <w:p w:rsidR="00882524" w:rsidRPr="0015257C" w:rsidRDefault="00882524" w:rsidP="00745893">
            <w:pPr>
              <w:spacing w:after="20"/>
              <w:jc w:val="center"/>
              <w:rPr>
                <w:sz w:val="20"/>
                <w:szCs w:val="20"/>
              </w:rPr>
            </w:pPr>
            <w:r w:rsidRPr="0015257C">
              <w:rPr>
                <w:sz w:val="20"/>
                <w:szCs w:val="20"/>
              </w:rPr>
              <w:t>90,0</w:t>
            </w:r>
          </w:p>
        </w:tc>
        <w:tc>
          <w:tcPr>
            <w:tcW w:w="609"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2,46</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5 000</w:t>
            </w:r>
          </w:p>
        </w:tc>
      </w:tr>
      <w:tr w:rsidR="0015257C" w:rsidRPr="0015257C" w:rsidTr="0015257C">
        <w:trPr>
          <w:cnfStyle w:val="00000001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2.</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Stęszewskie</w:t>
            </w:r>
          </w:p>
        </w:tc>
        <w:tc>
          <w:tcPr>
            <w:tcW w:w="686"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86,0</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94,7</w:t>
            </w:r>
          </w:p>
        </w:tc>
        <w:tc>
          <w:tcPr>
            <w:tcW w:w="609"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4,2</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13,0</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3 260</w:t>
            </w:r>
          </w:p>
        </w:tc>
      </w:tr>
      <w:tr w:rsidR="0015257C" w:rsidRPr="0015257C" w:rsidTr="0015257C">
        <w:trPr>
          <w:cnfStyle w:val="00000010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3.</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Biezdruchowo</w:t>
            </w:r>
          </w:p>
        </w:tc>
        <w:tc>
          <w:tcPr>
            <w:tcW w:w="686"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37,5</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95,6</w:t>
            </w:r>
          </w:p>
        </w:tc>
        <w:tc>
          <w:tcPr>
            <w:tcW w:w="609"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5,7</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17,7</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2 815</w:t>
            </w:r>
          </w:p>
        </w:tc>
      </w:tr>
      <w:tr w:rsidR="0015257C" w:rsidRPr="0015257C" w:rsidTr="0015257C">
        <w:trPr>
          <w:cnfStyle w:val="00000001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4.</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Jerzyńskie</w:t>
            </w:r>
          </w:p>
        </w:tc>
        <w:tc>
          <w:tcPr>
            <w:tcW w:w="686"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37,5</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94,7</w:t>
            </w:r>
          </w:p>
        </w:tc>
        <w:tc>
          <w:tcPr>
            <w:tcW w:w="609"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5,6</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13,0</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2 137</w:t>
            </w:r>
          </w:p>
        </w:tc>
      </w:tr>
      <w:tr w:rsidR="0015257C" w:rsidRPr="0015257C" w:rsidTr="0015257C">
        <w:trPr>
          <w:cnfStyle w:val="00000010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5.</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Wronczyńskie Duże</w:t>
            </w:r>
          </w:p>
        </w:tc>
        <w:tc>
          <w:tcPr>
            <w:tcW w:w="686"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36,5</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94,3</w:t>
            </w:r>
          </w:p>
        </w:tc>
        <w:tc>
          <w:tcPr>
            <w:tcW w:w="609"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2,3</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4,7</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932</w:t>
            </w:r>
          </w:p>
        </w:tc>
      </w:tr>
      <w:tr w:rsidR="0015257C" w:rsidRPr="0015257C" w:rsidTr="0015257C">
        <w:trPr>
          <w:cnfStyle w:val="00000001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6.</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Góra</w:t>
            </w:r>
          </w:p>
        </w:tc>
        <w:tc>
          <w:tcPr>
            <w:tcW w:w="686"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32,5</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75,6</w:t>
            </w:r>
          </w:p>
        </w:tc>
        <w:tc>
          <w:tcPr>
            <w:tcW w:w="609"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1,3</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3,0</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505</w:t>
            </w:r>
          </w:p>
        </w:tc>
      </w:tr>
      <w:tr w:rsidR="0015257C" w:rsidRPr="0015257C" w:rsidTr="0015257C">
        <w:trPr>
          <w:cnfStyle w:val="00000010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7.</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Wronczyńskie Małe</w:t>
            </w:r>
          </w:p>
        </w:tc>
        <w:tc>
          <w:tcPr>
            <w:tcW w:w="686"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18,5</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94,3</w:t>
            </w:r>
          </w:p>
        </w:tc>
        <w:tc>
          <w:tcPr>
            <w:tcW w:w="609"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3,8</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8,0</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798</w:t>
            </w:r>
          </w:p>
        </w:tc>
      </w:tr>
      <w:tr w:rsidR="0015257C" w:rsidRPr="0015257C" w:rsidTr="0015257C">
        <w:trPr>
          <w:cnfStyle w:val="00000001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8.</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Dębiniec</w:t>
            </w:r>
          </w:p>
        </w:tc>
        <w:tc>
          <w:tcPr>
            <w:tcW w:w="686"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15,0</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88,6</w:t>
            </w:r>
          </w:p>
        </w:tc>
        <w:tc>
          <w:tcPr>
            <w:tcW w:w="609"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4,5</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7,7</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770</w:t>
            </w:r>
          </w:p>
        </w:tc>
      </w:tr>
      <w:tr w:rsidR="0015257C" w:rsidRPr="0015257C" w:rsidTr="0015257C">
        <w:trPr>
          <w:cnfStyle w:val="00000010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9.</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Tuczno</w:t>
            </w:r>
          </w:p>
        </w:tc>
        <w:tc>
          <w:tcPr>
            <w:tcW w:w="686"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12,5</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96,7</w:t>
            </w:r>
          </w:p>
        </w:tc>
        <w:tc>
          <w:tcPr>
            <w:tcW w:w="609"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4,0</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w:t>
            </w:r>
          </w:p>
        </w:tc>
      </w:tr>
      <w:tr w:rsidR="0015257C" w:rsidRPr="0015257C" w:rsidTr="0015257C">
        <w:trPr>
          <w:cnfStyle w:val="00000001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10.</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Dobre</w:t>
            </w:r>
          </w:p>
        </w:tc>
        <w:tc>
          <w:tcPr>
            <w:tcW w:w="686"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11,5</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101,7</w:t>
            </w:r>
          </w:p>
        </w:tc>
        <w:tc>
          <w:tcPr>
            <w:tcW w:w="609"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8,3</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14,6</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1 100</w:t>
            </w:r>
          </w:p>
        </w:tc>
      </w:tr>
      <w:tr w:rsidR="0015257C" w:rsidRPr="0015257C" w:rsidTr="0015257C">
        <w:trPr>
          <w:cnfStyle w:val="00000010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11.</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Wójtostwo</w:t>
            </w:r>
          </w:p>
        </w:tc>
        <w:tc>
          <w:tcPr>
            <w:tcW w:w="686"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8,4</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91,3</w:t>
            </w:r>
          </w:p>
        </w:tc>
        <w:tc>
          <w:tcPr>
            <w:tcW w:w="609"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3,1</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6,2</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217</w:t>
            </w:r>
          </w:p>
        </w:tc>
      </w:tr>
      <w:tr w:rsidR="0015257C" w:rsidRPr="0015257C" w:rsidTr="0015257C">
        <w:trPr>
          <w:cnfStyle w:val="00000001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12.</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Uli</w:t>
            </w:r>
          </w:p>
        </w:tc>
        <w:tc>
          <w:tcPr>
            <w:tcW w:w="686"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6,4</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119,5</w:t>
            </w:r>
          </w:p>
        </w:tc>
        <w:tc>
          <w:tcPr>
            <w:tcW w:w="609"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1,5</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5,0</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w:t>
            </w:r>
          </w:p>
        </w:tc>
      </w:tr>
      <w:tr w:rsidR="0015257C" w:rsidRPr="0015257C" w:rsidTr="0015257C">
        <w:trPr>
          <w:cnfStyle w:val="00000010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13.</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Brzostek</w:t>
            </w:r>
          </w:p>
        </w:tc>
        <w:tc>
          <w:tcPr>
            <w:tcW w:w="686"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5,5</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90,1</w:t>
            </w:r>
          </w:p>
        </w:tc>
        <w:tc>
          <w:tcPr>
            <w:tcW w:w="609"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4,5</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7,8</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270</w:t>
            </w:r>
          </w:p>
        </w:tc>
      </w:tr>
      <w:tr w:rsidR="0015257C" w:rsidRPr="0015257C" w:rsidTr="0015257C">
        <w:trPr>
          <w:cnfStyle w:val="00000001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14.</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Grzybionek</w:t>
            </w:r>
          </w:p>
        </w:tc>
        <w:tc>
          <w:tcPr>
            <w:tcW w:w="686"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4,0</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tcW w:w="609"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w:t>
            </w:r>
          </w:p>
        </w:tc>
      </w:tr>
      <w:tr w:rsidR="0015257C" w:rsidRPr="0015257C" w:rsidTr="0015257C">
        <w:trPr>
          <w:cnfStyle w:val="00000010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15.</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Małe</w:t>
            </w:r>
          </w:p>
        </w:tc>
        <w:tc>
          <w:tcPr>
            <w:tcW w:w="686"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3,5</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tcW w:w="609"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w:t>
            </w:r>
          </w:p>
        </w:tc>
      </w:tr>
      <w:tr w:rsidR="0015257C" w:rsidRPr="0015257C" w:rsidTr="0015257C">
        <w:trPr>
          <w:cnfStyle w:val="00000001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16.</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Baba</w:t>
            </w:r>
          </w:p>
        </w:tc>
        <w:tc>
          <w:tcPr>
            <w:tcW w:w="686"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2,2</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tcW w:w="609"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1,5</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w:t>
            </w:r>
          </w:p>
        </w:tc>
      </w:tr>
      <w:tr w:rsidR="0015257C" w:rsidRPr="0015257C" w:rsidTr="0015257C">
        <w:trPr>
          <w:cnfStyle w:val="00000010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17.</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Bez nazwy koło Złotniczek</w:t>
            </w:r>
          </w:p>
        </w:tc>
        <w:tc>
          <w:tcPr>
            <w:tcW w:w="686"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2,1</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tcW w:w="609"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w:t>
            </w:r>
          </w:p>
        </w:tc>
      </w:tr>
      <w:tr w:rsidR="0015257C" w:rsidRPr="0015257C" w:rsidTr="0015257C">
        <w:trPr>
          <w:cnfStyle w:val="00000001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18.</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Bez nazwy koło Biskupic</w:t>
            </w:r>
          </w:p>
        </w:tc>
        <w:tc>
          <w:tcPr>
            <w:tcW w:w="686"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1,8</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tcW w:w="609"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w:t>
            </w:r>
          </w:p>
        </w:tc>
      </w:tr>
      <w:tr w:rsidR="0015257C" w:rsidRPr="0015257C" w:rsidTr="0015257C">
        <w:trPr>
          <w:cnfStyle w:val="00000010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19.</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Kazanie</w:t>
            </w:r>
          </w:p>
        </w:tc>
        <w:tc>
          <w:tcPr>
            <w:tcW w:w="686"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1,8</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tcW w:w="609"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w:t>
            </w:r>
          </w:p>
        </w:tc>
      </w:tr>
      <w:tr w:rsidR="0015257C" w:rsidRPr="0015257C" w:rsidTr="0015257C">
        <w:trPr>
          <w:cnfStyle w:val="00000001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20.</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Cyganek</w:t>
            </w:r>
          </w:p>
        </w:tc>
        <w:tc>
          <w:tcPr>
            <w:tcW w:w="686"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1,7</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tcW w:w="609"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1,5</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w:t>
            </w:r>
          </w:p>
        </w:tc>
      </w:tr>
      <w:tr w:rsidR="0015257C" w:rsidRPr="0015257C" w:rsidTr="0015257C">
        <w:trPr>
          <w:cnfStyle w:val="00000010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21.</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Ósemka</w:t>
            </w:r>
          </w:p>
        </w:tc>
        <w:tc>
          <w:tcPr>
            <w:tcW w:w="686"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1,5</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tcW w:w="609"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1,5</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w:t>
            </w:r>
          </w:p>
        </w:tc>
      </w:tr>
      <w:tr w:rsidR="0015257C" w:rsidRPr="0015257C" w:rsidTr="0015257C">
        <w:trPr>
          <w:cnfStyle w:val="00000001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22.</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Bez nazwy koło Biskupic</w:t>
            </w:r>
          </w:p>
        </w:tc>
        <w:tc>
          <w:tcPr>
            <w:tcW w:w="686"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1,3</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tcW w:w="609"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w:t>
            </w:r>
          </w:p>
        </w:tc>
      </w:tr>
      <w:tr w:rsidR="0015257C" w:rsidRPr="0015257C" w:rsidTr="0015257C">
        <w:trPr>
          <w:cnfStyle w:val="00000010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23.</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Drążynek</w:t>
            </w:r>
          </w:p>
        </w:tc>
        <w:tc>
          <w:tcPr>
            <w:tcW w:w="686"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1,0</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tcW w:w="609"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w:t>
            </w:r>
          </w:p>
        </w:tc>
      </w:tr>
      <w:tr w:rsidR="0015257C" w:rsidRPr="0015257C" w:rsidTr="0015257C">
        <w:trPr>
          <w:cnfStyle w:val="00000001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24.</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Jeziorko</w:t>
            </w:r>
          </w:p>
        </w:tc>
        <w:tc>
          <w:tcPr>
            <w:tcW w:w="686"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1,0</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tcW w:w="609" w:type="pct"/>
            <w:shd w:val="clear" w:color="auto" w:fill="auto"/>
          </w:tcPr>
          <w:p w:rsidR="00882524" w:rsidRPr="0015257C" w:rsidRDefault="00882524" w:rsidP="00745893">
            <w:pPr>
              <w:spacing w:after="20"/>
              <w:jc w:val="center"/>
              <w:cnfStyle w:val="000000010000"/>
              <w:rPr>
                <w:sz w:val="20"/>
                <w:szCs w:val="20"/>
              </w:rPr>
            </w:pPr>
            <w:r w:rsidRPr="0015257C">
              <w:rPr>
                <w:sz w:val="20"/>
                <w:szCs w:val="20"/>
              </w:rPr>
              <w:t>-</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w:t>
            </w:r>
          </w:p>
        </w:tc>
      </w:tr>
      <w:tr w:rsidR="0015257C" w:rsidRPr="0015257C" w:rsidTr="0015257C">
        <w:trPr>
          <w:cnfStyle w:val="000000100000"/>
        </w:trPr>
        <w:tc>
          <w:tcPr>
            <w:cnfStyle w:val="001000000000"/>
            <w:tcW w:w="287"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25.</w:t>
            </w:r>
          </w:p>
        </w:tc>
        <w:tc>
          <w:tcPr>
            <w:cnfStyle w:val="000010000000"/>
            <w:tcW w:w="1301" w:type="pct"/>
            <w:shd w:val="clear" w:color="auto" w:fill="auto"/>
          </w:tcPr>
          <w:p w:rsidR="00882524" w:rsidRPr="0015257C" w:rsidRDefault="00882524" w:rsidP="00745893">
            <w:pPr>
              <w:spacing w:after="20"/>
              <w:rPr>
                <w:sz w:val="20"/>
                <w:szCs w:val="20"/>
              </w:rPr>
            </w:pPr>
            <w:r w:rsidRPr="0015257C">
              <w:rPr>
                <w:sz w:val="20"/>
                <w:szCs w:val="20"/>
              </w:rPr>
              <w:t>Okrąglak</w:t>
            </w:r>
          </w:p>
        </w:tc>
        <w:tc>
          <w:tcPr>
            <w:tcW w:w="686"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1,0</w:t>
            </w:r>
          </w:p>
        </w:tc>
        <w:tc>
          <w:tcPr>
            <w:cnfStyle w:val="000010000000"/>
            <w:tcW w:w="68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tcW w:w="609" w:type="pct"/>
            <w:shd w:val="clear" w:color="auto" w:fill="auto"/>
          </w:tcPr>
          <w:p w:rsidR="00882524" w:rsidRPr="0015257C" w:rsidRDefault="00882524" w:rsidP="00745893">
            <w:pPr>
              <w:spacing w:after="20"/>
              <w:jc w:val="center"/>
              <w:cnfStyle w:val="000000100000"/>
              <w:rPr>
                <w:sz w:val="20"/>
                <w:szCs w:val="20"/>
              </w:rPr>
            </w:pPr>
            <w:r w:rsidRPr="0015257C">
              <w:rPr>
                <w:sz w:val="20"/>
                <w:szCs w:val="20"/>
              </w:rPr>
              <w:t>1,5</w:t>
            </w:r>
          </w:p>
        </w:tc>
        <w:tc>
          <w:tcPr>
            <w:cnfStyle w:val="000010000000"/>
            <w:tcW w:w="916" w:type="pct"/>
            <w:shd w:val="clear" w:color="auto" w:fill="auto"/>
          </w:tcPr>
          <w:p w:rsidR="00882524" w:rsidRPr="0015257C" w:rsidRDefault="00882524" w:rsidP="00745893">
            <w:pPr>
              <w:spacing w:after="20"/>
              <w:jc w:val="center"/>
              <w:rPr>
                <w:sz w:val="20"/>
                <w:szCs w:val="20"/>
              </w:rPr>
            </w:pPr>
            <w:r w:rsidRPr="0015257C">
              <w:rPr>
                <w:sz w:val="20"/>
                <w:szCs w:val="20"/>
              </w:rPr>
              <w:t>-</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b w:val="0"/>
                <w:sz w:val="20"/>
                <w:szCs w:val="20"/>
              </w:rPr>
            </w:pPr>
            <w:r w:rsidRPr="0015257C">
              <w:rPr>
                <w:rFonts w:asciiTheme="minorHAnsi" w:hAnsiTheme="minorHAnsi"/>
                <w:b w:val="0"/>
                <w:sz w:val="20"/>
                <w:szCs w:val="20"/>
              </w:rPr>
              <w:t>-</w:t>
            </w:r>
          </w:p>
        </w:tc>
      </w:tr>
      <w:tr w:rsidR="0015257C" w:rsidRPr="0015257C" w:rsidTr="0015257C">
        <w:trPr>
          <w:cnfStyle w:val="010000000000"/>
        </w:trPr>
        <w:tc>
          <w:tcPr>
            <w:cnfStyle w:val="001000000000"/>
            <w:tcW w:w="1588" w:type="pct"/>
            <w:gridSpan w:val="2"/>
            <w:shd w:val="clear" w:color="auto" w:fill="auto"/>
          </w:tcPr>
          <w:p w:rsidR="00882524" w:rsidRPr="0015257C" w:rsidRDefault="00882524" w:rsidP="00745893">
            <w:pPr>
              <w:spacing w:after="20"/>
              <w:ind w:left="540"/>
              <w:jc w:val="center"/>
              <w:rPr>
                <w:rFonts w:asciiTheme="minorHAnsi" w:hAnsiTheme="minorHAnsi"/>
                <w:sz w:val="20"/>
                <w:szCs w:val="20"/>
              </w:rPr>
            </w:pPr>
            <w:r w:rsidRPr="0015257C">
              <w:rPr>
                <w:rFonts w:asciiTheme="minorHAnsi" w:hAnsiTheme="minorHAnsi"/>
                <w:sz w:val="20"/>
                <w:szCs w:val="20"/>
              </w:rPr>
              <w:t>Razem</w:t>
            </w:r>
          </w:p>
        </w:tc>
        <w:tc>
          <w:tcPr>
            <w:cnfStyle w:val="000010000000"/>
            <w:tcW w:w="686" w:type="pct"/>
            <w:shd w:val="clear" w:color="auto" w:fill="auto"/>
          </w:tcPr>
          <w:p w:rsidR="00882524" w:rsidRPr="0015257C" w:rsidRDefault="00882524" w:rsidP="00745893">
            <w:pPr>
              <w:spacing w:after="20"/>
              <w:jc w:val="center"/>
              <w:rPr>
                <w:rFonts w:asciiTheme="minorHAnsi" w:hAnsiTheme="minorHAnsi"/>
                <w:sz w:val="20"/>
                <w:szCs w:val="20"/>
              </w:rPr>
            </w:pPr>
            <w:r w:rsidRPr="0015257C">
              <w:rPr>
                <w:rFonts w:asciiTheme="minorHAnsi" w:hAnsiTheme="minorHAnsi"/>
                <w:sz w:val="20"/>
                <w:szCs w:val="20"/>
              </w:rPr>
              <w:t>456,5</w:t>
            </w:r>
          </w:p>
        </w:tc>
        <w:tc>
          <w:tcPr>
            <w:tcW w:w="686" w:type="pct"/>
            <w:shd w:val="clear" w:color="auto" w:fill="auto"/>
          </w:tcPr>
          <w:p w:rsidR="00882524" w:rsidRPr="0015257C" w:rsidRDefault="00882524" w:rsidP="00745893">
            <w:pPr>
              <w:spacing w:after="20"/>
              <w:jc w:val="center"/>
              <w:cnfStyle w:val="010000000000"/>
              <w:rPr>
                <w:rFonts w:asciiTheme="minorHAnsi" w:hAnsiTheme="minorHAnsi"/>
                <w:sz w:val="20"/>
                <w:szCs w:val="20"/>
              </w:rPr>
            </w:pPr>
            <w:r w:rsidRPr="0015257C">
              <w:rPr>
                <w:rFonts w:asciiTheme="minorHAnsi" w:hAnsiTheme="minorHAnsi"/>
                <w:sz w:val="20"/>
                <w:szCs w:val="20"/>
              </w:rPr>
              <w:t>-</w:t>
            </w:r>
          </w:p>
        </w:tc>
        <w:tc>
          <w:tcPr>
            <w:cnfStyle w:val="000010000000"/>
            <w:tcW w:w="609" w:type="pct"/>
            <w:shd w:val="clear" w:color="auto" w:fill="auto"/>
          </w:tcPr>
          <w:p w:rsidR="00882524" w:rsidRPr="0015257C" w:rsidRDefault="00882524" w:rsidP="00745893">
            <w:pPr>
              <w:spacing w:after="20"/>
              <w:jc w:val="center"/>
              <w:rPr>
                <w:rFonts w:asciiTheme="minorHAnsi" w:hAnsiTheme="minorHAnsi"/>
                <w:sz w:val="20"/>
                <w:szCs w:val="20"/>
              </w:rPr>
            </w:pPr>
            <w:r w:rsidRPr="0015257C">
              <w:rPr>
                <w:rFonts w:asciiTheme="minorHAnsi" w:hAnsiTheme="minorHAnsi"/>
                <w:sz w:val="20"/>
                <w:szCs w:val="20"/>
              </w:rPr>
              <w:t>-</w:t>
            </w:r>
          </w:p>
        </w:tc>
        <w:tc>
          <w:tcPr>
            <w:tcW w:w="916" w:type="pct"/>
            <w:shd w:val="clear" w:color="auto" w:fill="auto"/>
          </w:tcPr>
          <w:p w:rsidR="00882524" w:rsidRPr="0015257C" w:rsidRDefault="00882524" w:rsidP="00745893">
            <w:pPr>
              <w:spacing w:after="20"/>
              <w:jc w:val="center"/>
              <w:cnfStyle w:val="010000000000"/>
              <w:rPr>
                <w:rFonts w:asciiTheme="minorHAnsi" w:hAnsiTheme="minorHAnsi"/>
                <w:sz w:val="20"/>
                <w:szCs w:val="20"/>
              </w:rPr>
            </w:pPr>
            <w:r w:rsidRPr="0015257C">
              <w:rPr>
                <w:rFonts w:asciiTheme="minorHAnsi" w:hAnsiTheme="minorHAnsi"/>
                <w:sz w:val="20"/>
                <w:szCs w:val="20"/>
              </w:rPr>
              <w:t>-</w:t>
            </w:r>
          </w:p>
        </w:tc>
        <w:tc>
          <w:tcPr>
            <w:cnfStyle w:val="000100000000"/>
            <w:tcW w:w="515" w:type="pct"/>
            <w:shd w:val="clear" w:color="auto" w:fill="auto"/>
          </w:tcPr>
          <w:p w:rsidR="00882524" w:rsidRPr="0015257C" w:rsidRDefault="00882524" w:rsidP="00745893">
            <w:pPr>
              <w:spacing w:after="20"/>
              <w:jc w:val="center"/>
              <w:rPr>
                <w:rFonts w:asciiTheme="minorHAnsi" w:hAnsiTheme="minorHAnsi"/>
                <w:sz w:val="20"/>
                <w:szCs w:val="20"/>
              </w:rPr>
            </w:pPr>
            <w:r w:rsidRPr="0015257C">
              <w:rPr>
                <w:rFonts w:asciiTheme="minorHAnsi" w:hAnsiTheme="minorHAnsi"/>
                <w:sz w:val="20"/>
                <w:szCs w:val="20"/>
              </w:rPr>
              <w:t>-</w:t>
            </w:r>
          </w:p>
        </w:tc>
      </w:tr>
    </w:tbl>
    <w:p w:rsidR="00882524" w:rsidRPr="00882524" w:rsidRDefault="00882524" w:rsidP="00745893">
      <w:pPr>
        <w:spacing w:after="0"/>
        <w:rPr>
          <w:sz w:val="20"/>
        </w:rPr>
      </w:pPr>
      <w:r w:rsidRPr="00882524">
        <w:rPr>
          <w:sz w:val="20"/>
        </w:rPr>
        <w:t>Źródło: Program Ochrony Środowiska na lata 2004-2007 z perspektywą na lata 2008-2011.</w:t>
      </w:r>
    </w:p>
    <w:p w:rsidR="00A31A0C" w:rsidRPr="00885434" w:rsidRDefault="00A31A0C" w:rsidP="00517EE9">
      <w:pPr>
        <w:spacing w:before="60" w:after="60"/>
        <w:jc w:val="both"/>
      </w:pPr>
      <w:r w:rsidRPr="00885434">
        <w:t>Największy</w:t>
      </w:r>
      <w:r w:rsidR="00E04145" w:rsidRPr="00885434">
        <w:t>m</w:t>
      </w:r>
      <w:r w:rsidRPr="00885434">
        <w:t xml:space="preserve"> zbiornik</w:t>
      </w:r>
      <w:r w:rsidR="00E04145" w:rsidRPr="00885434">
        <w:t>iem</w:t>
      </w:r>
      <w:r w:rsidRPr="00885434">
        <w:t xml:space="preserve"> </w:t>
      </w:r>
      <w:r w:rsidR="00E04145" w:rsidRPr="00885434">
        <w:t xml:space="preserve">jest </w:t>
      </w:r>
      <w:r w:rsidRPr="00885434">
        <w:t>Jezio</w:t>
      </w:r>
      <w:r w:rsidR="00E04145" w:rsidRPr="00885434">
        <w:t xml:space="preserve">ro </w:t>
      </w:r>
      <w:r w:rsidR="00585103" w:rsidRPr="00885434">
        <w:t>Stęszewskie (86 ha)</w:t>
      </w:r>
      <w:r w:rsidRPr="00885434">
        <w:t xml:space="preserve">. </w:t>
      </w:r>
      <w:r w:rsidR="00585103" w:rsidRPr="00885434">
        <w:t xml:space="preserve">Dodatkowo na ternie gminy istnieje duży zbiornik retencyjny jezioro Kowalskie. </w:t>
      </w:r>
      <w:r w:rsidRPr="00885434">
        <w:t xml:space="preserve">Łączna powierzchnia jezior i zbiorników wynosi 549 ha, co stanowi </w:t>
      </w:r>
      <w:r w:rsidR="00E04145" w:rsidRPr="00885434">
        <w:t>prawie 3</w:t>
      </w:r>
      <w:r w:rsidRPr="00885434">
        <w:t>% powierzchni gminy.</w:t>
      </w:r>
      <w:r w:rsidR="002D5B4F" w:rsidRPr="00885434">
        <w:t xml:space="preserve"> </w:t>
      </w:r>
      <w:r w:rsidR="0047046E" w:rsidRPr="00885434">
        <w:t xml:space="preserve">Na terenie gminy znajduje się także ok. 250 niewielkich „oczek wodnych”, które stanowią cenne ekosystemy – ostoje ptactwa wodnego i zwierząt, umożliwiające zachowanie różnorodności przyrodniczej gminy. </w:t>
      </w:r>
      <w:r w:rsidR="00585103" w:rsidRPr="00885434">
        <w:t xml:space="preserve">Teren Gminy Pobiedziska znajduje się </w:t>
      </w:r>
      <w:r w:rsidR="00585103" w:rsidRPr="00885434">
        <w:lastRenderedPageBreak/>
        <w:t xml:space="preserve">w obszarze zlewni prawobrzeżnych dopływów Warty: rzek Cybiny i Głównej. Rzeki te wraz ze swoimi dopływami oraz jeziorami tworzą sieć hydrologiczną. </w:t>
      </w:r>
      <w:r w:rsidR="0047046E" w:rsidRPr="00885434">
        <w:t>Gmina nie jest zagrożona występowaniem zjawisk powodziowych.</w:t>
      </w:r>
    </w:p>
    <w:p w:rsidR="005F365F" w:rsidRDefault="000D75B9" w:rsidP="00517EE9">
      <w:pPr>
        <w:spacing w:before="60" w:after="60"/>
        <w:jc w:val="both"/>
      </w:pPr>
      <w:r w:rsidRPr="00885434">
        <w:t>S</w:t>
      </w:r>
      <w:r w:rsidR="005F365F" w:rsidRPr="00885434">
        <w:t xml:space="preserve">tan czystości wód powierzchniowych determinują spływy zanieczyszczeń obszarowych, w tym zanieczyszczenia spływające z pól, zanieczyszczenia pochodzące z zespołów zabudowy letniskowej </w:t>
      </w:r>
      <w:r w:rsidR="00661460">
        <w:br/>
      </w:r>
      <w:r w:rsidR="005F365F" w:rsidRPr="00885434">
        <w:t>o nieuregulowanej gospodarce ściekowej oraz intensywnie prowadzona gospodarka rybacka.</w:t>
      </w:r>
    </w:p>
    <w:p w:rsidR="00D01F22" w:rsidRPr="00885434" w:rsidRDefault="00D01F22" w:rsidP="00517EE9">
      <w:pPr>
        <w:spacing w:before="60" w:after="60"/>
        <w:jc w:val="both"/>
      </w:pPr>
      <w:r>
        <w:t xml:space="preserve">W związku z pogarszającym się stanem czystości Zalewu Kowalskie, zlecono wykonanie „Projektu ochrony i rekultywacji zbiornika Kowalskie”. Przedmiotowe opracowanie zostało wykonane </w:t>
      </w:r>
      <w:r w:rsidR="00661460">
        <w:br/>
      </w:r>
      <w:r>
        <w:t xml:space="preserve">w grudniu 2007 roku. Zawiera ono ocenę stanu czystości zalewu, wskazanie przyczyn stanu obecnego oraz wskazanie kierunków działania w celu rekultywacji jeziora. W tej sprawie gmina nie może podjąć działań zmierzających do rekultywacji Zalewu Kowalskie, ponieważ nie jest jego właścicielem. </w:t>
      </w:r>
      <w:r w:rsidR="00661460">
        <w:br/>
      </w:r>
      <w:r>
        <w:t>W 2008</w:t>
      </w:r>
      <w:r w:rsidR="00B41F02">
        <w:t> </w:t>
      </w:r>
      <w:r>
        <w:t>r. przekazano przedmiotowe opracowanie do Wielkopolskiego Zarządu Melioracji i Urządzeń Wodnych, Inspektorat w Przeźmierowie i zwrócono się z prośbą o rozważenie możliwości podjęcia jak najszybszych działań w kierunku rekultywacji Zalewu Kowalskie. WZMiUW nie podjął tematu. UMiG corocznie bada stan wód Zalewu Kowalskie pod kątem jego przydatności do kąpieli oraz prowadzi kontrole gospodarki wodno-ściekowej posesji zlokalizowanych w pobliżu Zalewu Kowalskie i rzeki Głównej.</w:t>
      </w:r>
    </w:p>
    <w:p w:rsidR="00A31A0C" w:rsidRPr="00885434" w:rsidRDefault="000B3163" w:rsidP="00517EE9">
      <w:pPr>
        <w:spacing w:before="60" w:after="60"/>
        <w:jc w:val="both"/>
      </w:pPr>
      <w:r w:rsidRPr="00885434">
        <w:t>Stan czystości powietrza charakteryzuje się dużą zmiennością w ciągu roku, a zanieczyszczenia mają pochodzenie egzo</w:t>
      </w:r>
      <w:r w:rsidR="00644139" w:rsidRPr="00885434">
        <w:t>geniczne oraz lokalne. Lokalne</w:t>
      </w:r>
      <w:r w:rsidRPr="00885434">
        <w:t xml:space="preserve"> pochodzą z transportu samochodowego, częściowo miejscowego przem</w:t>
      </w:r>
      <w:r w:rsidR="00644139" w:rsidRPr="00885434">
        <w:t>ysłu oraz z sektora komunalno-</w:t>
      </w:r>
      <w:r w:rsidRPr="00885434">
        <w:t>bytowego. W sezonach grzewczych wzrost zanieczyszczeń związany jest ze spalaniem węgla w piecach domowych. Na stan czystości powietrza ujemny wpływ ma także składowisko odpadów komunalnych w Borówku poprzez odory. Zanieczyszczenia egzogeniczne pochodzą z zakładów przemysłowych aglomeracji poznańskiej, czemu sprzyjają kierunki wiejących wiatrów. Zanieczyszczenia te o zauważalnej tendencji spadkowej, mają zasadniczy wpływ na stan zdrowotny lasów gminy</w:t>
      </w:r>
      <w:r w:rsidRPr="00885434">
        <w:rPr>
          <w:rStyle w:val="Odwoanieprzypisudolnego"/>
        </w:rPr>
        <w:footnoteReference w:id="8"/>
      </w:r>
      <w:r w:rsidRPr="00885434">
        <w:t>.</w:t>
      </w:r>
    </w:p>
    <w:p w:rsidR="001F13A6" w:rsidRPr="00885434" w:rsidRDefault="001F13A6" w:rsidP="00517EE9">
      <w:pPr>
        <w:spacing w:before="60" w:after="60"/>
        <w:jc w:val="both"/>
      </w:pPr>
      <w:r w:rsidRPr="00885434">
        <w:t>Lasy w gminie nadal pozostają w bezpośrednim zasięgu szkodliwego oddziaływania zanieczyszczeń przemysłowych z Poznania, Bolechowa i Czerwonaka.</w:t>
      </w:r>
    </w:p>
    <w:p w:rsidR="000B3163" w:rsidRPr="00885434" w:rsidRDefault="000B3163" w:rsidP="00517EE9">
      <w:pPr>
        <w:spacing w:before="60" w:after="60"/>
        <w:jc w:val="both"/>
      </w:pPr>
      <w:r w:rsidRPr="00885434">
        <w:t>Na klimat akustyczny gminy zasadniczy wpływ mają: ruch samochodowy o dużym natężeniu na drodze krajowej nr 5 i drodze wojewódzkiej nr 434 oraz linia kolejowa Poznań – Gniezno –Inowrocław – Skandawa. Największe zagrożenie hałasem występuje na terenach położonych w ich sąsiedztwie. Natomiast brak jest badań dotyczących uciążliwości akustycznej lokalnych zakładów przemysłowych.</w:t>
      </w:r>
    </w:p>
    <w:p w:rsidR="00BC5ADE" w:rsidRPr="00885434" w:rsidRDefault="00BC5ADE" w:rsidP="00517EE9">
      <w:pPr>
        <w:autoSpaceDE w:val="0"/>
        <w:autoSpaceDN w:val="0"/>
        <w:adjustRightInd w:val="0"/>
        <w:spacing w:before="60" w:after="60"/>
        <w:jc w:val="both"/>
        <w:rPr>
          <w:rFonts w:cs="Helvetica"/>
          <w:szCs w:val="20"/>
        </w:rPr>
      </w:pPr>
      <w:r w:rsidRPr="00885434">
        <w:rPr>
          <w:rFonts w:cs="Helvetica"/>
          <w:szCs w:val="20"/>
        </w:rPr>
        <w:t>Na terenie mias</w:t>
      </w:r>
      <w:r w:rsidR="00B41F02">
        <w:rPr>
          <w:rFonts w:cs="Helvetica"/>
          <w:szCs w:val="20"/>
        </w:rPr>
        <w:t xml:space="preserve">ta i gminy Pobiedziska jest </w:t>
      </w:r>
      <w:r w:rsidRPr="00885434">
        <w:rPr>
          <w:rFonts w:cs="Helvetica"/>
          <w:szCs w:val="20"/>
        </w:rPr>
        <w:t xml:space="preserve">prowadzona edukacja w zakresie ochrony </w:t>
      </w:r>
      <w:r w:rsidRPr="00885434">
        <w:rPr>
          <w:rFonts w:cs="Arial"/>
          <w:szCs w:val="20"/>
        </w:rPr>
        <w:t>ś</w:t>
      </w:r>
      <w:r w:rsidRPr="00885434">
        <w:rPr>
          <w:rFonts w:cs="Helvetica"/>
          <w:szCs w:val="20"/>
        </w:rPr>
        <w:t xml:space="preserve">rodowiska, </w:t>
      </w:r>
      <w:r w:rsidR="00661460">
        <w:rPr>
          <w:rFonts w:cs="Helvetica"/>
          <w:szCs w:val="20"/>
        </w:rPr>
        <w:br/>
      </w:r>
      <w:r w:rsidRPr="00885434">
        <w:rPr>
          <w:rFonts w:cs="Helvetica"/>
          <w:szCs w:val="20"/>
        </w:rPr>
        <w:t>w tym równie</w:t>
      </w:r>
      <w:r w:rsidRPr="00885434">
        <w:rPr>
          <w:rFonts w:cs="Arial"/>
          <w:szCs w:val="20"/>
        </w:rPr>
        <w:t xml:space="preserve">ż </w:t>
      </w:r>
      <w:r w:rsidRPr="00885434">
        <w:rPr>
          <w:rFonts w:cs="Helvetica"/>
          <w:szCs w:val="20"/>
        </w:rPr>
        <w:t>gospodarki odpadami. Co roku s</w:t>
      </w:r>
      <w:r w:rsidRPr="00885434">
        <w:rPr>
          <w:rFonts w:cs="Arial"/>
          <w:szCs w:val="20"/>
        </w:rPr>
        <w:t xml:space="preserve">ą </w:t>
      </w:r>
      <w:r w:rsidRPr="00885434">
        <w:rPr>
          <w:rFonts w:cs="Helvetica"/>
          <w:szCs w:val="20"/>
        </w:rPr>
        <w:t>przeprowadzane akcje „Sprz</w:t>
      </w:r>
      <w:r w:rsidRPr="00885434">
        <w:rPr>
          <w:rFonts w:cs="Arial"/>
          <w:szCs w:val="20"/>
        </w:rPr>
        <w:t>ą</w:t>
      </w:r>
      <w:r w:rsidRPr="00885434">
        <w:rPr>
          <w:rFonts w:cs="Helvetica"/>
          <w:szCs w:val="20"/>
        </w:rPr>
        <w:t xml:space="preserve">tania </w:t>
      </w:r>
      <w:r w:rsidRPr="00885434">
        <w:rPr>
          <w:rFonts w:cs="Arial"/>
          <w:szCs w:val="20"/>
        </w:rPr>
        <w:t>ś</w:t>
      </w:r>
      <w:r w:rsidRPr="00885434">
        <w:rPr>
          <w:rFonts w:cs="Helvetica"/>
          <w:szCs w:val="20"/>
        </w:rPr>
        <w:t>wiata”, „Dni ziemi”. Na terenie szkół prowadzona jest edukacja ekologiczna przy współudziale pracowników Zespołu Parków Krajobrazowych Województwa Wielkopolskiego.</w:t>
      </w:r>
    </w:p>
    <w:p w:rsidR="00BC5ADE" w:rsidRPr="00885434" w:rsidRDefault="00BC5ADE" w:rsidP="00517EE9">
      <w:pPr>
        <w:spacing w:before="60" w:after="60"/>
        <w:jc w:val="both"/>
      </w:pPr>
      <w:r w:rsidRPr="00885434">
        <w:t>Od 2009 roku organizowany jest w Pobiedziskach Ogólnopolski Edukacyjny Piknik Ekologiczny, który jest</w:t>
      </w:r>
      <w:r w:rsidR="008F0044">
        <w:t xml:space="preserve"> imprezą otwartą dla wszystkich. P</w:t>
      </w:r>
      <w:r w:rsidRPr="00885434">
        <w:t xml:space="preserve">odczas </w:t>
      </w:r>
      <w:r w:rsidR="008F0044">
        <w:t>Pikniku</w:t>
      </w:r>
      <w:r w:rsidRPr="00885434">
        <w:t xml:space="preserve"> w niekonwencjonalny i atrakcyjny sposób każdy zainteresowany tematyką ekologiczną, może poszerzyć swoją wiedzę z tego zakresu, zdobyć praktyczne umiejętności w rozpoznawaniu zagrożeń dla środowiska oraz zrozumieć i</w:t>
      </w:r>
      <w:r w:rsidR="009A2EE9" w:rsidRPr="00885434">
        <w:t xml:space="preserve"> poznać różne zjawiska fizyko-</w:t>
      </w:r>
      <w:r w:rsidRPr="00885434">
        <w:t>chemiczne oraz biologiczne zachodzące w świecie przyrody.</w:t>
      </w:r>
    </w:p>
    <w:p w:rsidR="00BC5ADE" w:rsidRPr="00885434" w:rsidRDefault="00535843" w:rsidP="000B3163">
      <w:pPr>
        <w:jc w:val="both"/>
      </w:pPr>
      <w:r>
        <w:pict>
          <v:shape id="_x0000_s1043" type="#_x0000_t185" style="width:223.15pt;height:456.95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43;mso-fit-shape-to-text:t" inset="18pt,18pt,,18pt">
              <w:txbxContent>
                <w:p w:rsidR="00291CA0" w:rsidRPr="00517EE9" w:rsidRDefault="00291CA0" w:rsidP="00517EE9">
                  <w:pPr>
                    <w:spacing w:before="120" w:after="120"/>
                    <w:jc w:val="both"/>
                    <w:rPr>
                      <w:b/>
                      <w:i/>
                      <w:iCs/>
                      <w:color w:val="943634" w:themeColor="accent2" w:themeShade="BF"/>
                    </w:rPr>
                  </w:pPr>
                  <w:r w:rsidRPr="00517EE9">
                    <w:rPr>
                      <w:b/>
                      <w:i/>
                      <w:iCs/>
                      <w:color w:val="943634" w:themeColor="accent2" w:themeShade="BF"/>
                    </w:rPr>
                    <w:t>KONKLUZJE STRATEGICZNE</w:t>
                  </w:r>
                </w:p>
                <w:p w:rsidR="00291CA0" w:rsidRPr="00517EE9" w:rsidRDefault="00291CA0" w:rsidP="00517EE9">
                  <w:pPr>
                    <w:spacing w:before="120" w:after="120"/>
                    <w:jc w:val="both"/>
                    <w:rPr>
                      <w:b/>
                      <w:i/>
                      <w:iCs/>
                      <w:color w:val="808080" w:themeColor="background1" w:themeShade="80"/>
                    </w:rPr>
                  </w:pPr>
                  <w:r w:rsidRPr="00517EE9">
                    <w:rPr>
                      <w:b/>
                      <w:i/>
                      <w:iCs/>
                      <w:color w:val="808080" w:themeColor="background1" w:themeShade="80"/>
                    </w:rPr>
                    <w:t xml:space="preserve">Gmina charakteryzuje się znaczną ilością jezior i zbiorników wodnych, atrakcyjnych pod względem turystycznym </w:t>
                  </w:r>
                  <w:r>
                    <w:rPr>
                      <w:b/>
                      <w:i/>
                      <w:iCs/>
                      <w:color w:val="808080" w:themeColor="background1" w:themeShade="80"/>
                    </w:rPr>
                    <w:t>oraz stanowiących cenne ekosystemy</w:t>
                  </w:r>
                  <w:r w:rsidRPr="00517EE9">
                    <w:rPr>
                      <w:b/>
                      <w:i/>
                      <w:iCs/>
                      <w:color w:val="808080" w:themeColor="background1" w:themeShade="80"/>
                    </w:rPr>
                    <w:t>.</w:t>
                  </w:r>
                </w:p>
                <w:p w:rsidR="00291CA0" w:rsidRPr="00517EE9" w:rsidRDefault="00291CA0" w:rsidP="008F0044">
                  <w:pPr>
                    <w:spacing w:before="120" w:after="120"/>
                    <w:jc w:val="both"/>
                    <w:rPr>
                      <w:b/>
                      <w:i/>
                      <w:iCs/>
                      <w:color w:val="808080" w:themeColor="background1" w:themeShade="80"/>
                    </w:rPr>
                  </w:pPr>
                  <w:r w:rsidRPr="00517EE9">
                    <w:rPr>
                      <w:b/>
                      <w:i/>
                      <w:iCs/>
                      <w:color w:val="808080" w:themeColor="background1" w:themeShade="80"/>
                    </w:rPr>
                    <w:t xml:space="preserve">Atrakcyjna rzeźba terenu, liczne jeziora i znaczne powierzchnie leśne z rzadką florą były m.in. powodem powołania na terenie gminy </w:t>
                  </w:r>
                  <w:r>
                    <w:rPr>
                      <w:b/>
                      <w:i/>
                      <w:iCs/>
                      <w:color w:val="808080" w:themeColor="background1" w:themeShade="80"/>
                    </w:rPr>
                    <w:t xml:space="preserve">różnych </w:t>
                  </w:r>
                  <w:r w:rsidRPr="00517EE9">
                    <w:rPr>
                      <w:b/>
                      <w:i/>
                      <w:iCs/>
                      <w:color w:val="808080" w:themeColor="background1" w:themeShade="80"/>
                    </w:rPr>
                    <w:t>form ochrony przyrody.</w:t>
                  </w:r>
                </w:p>
                <w:p w:rsidR="00291CA0" w:rsidRPr="00517EE9" w:rsidRDefault="00291CA0" w:rsidP="00517EE9">
                  <w:pPr>
                    <w:spacing w:before="120" w:after="120"/>
                    <w:jc w:val="both"/>
                    <w:rPr>
                      <w:b/>
                      <w:i/>
                      <w:iCs/>
                      <w:color w:val="808080" w:themeColor="background1" w:themeShade="80"/>
                    </w:rPr>
                  </w:pPr>
                  <w:r w:rsidRPr="00517EE9">
                    <w:rPr>
                      <w:b/>
                      <w:i/>
                      <w:iCs/>
                      <w:color w:val="808080" w:themeColor="background1" w:themeShade="80"/>
                    </w:rPr>
                    <w:t xml:space="preserve">Dla uwarunkowań zagospodarowania przestrzennego istotne jest, że w granicach parków </w:t>
                  </w:r>
                  <w:r>
                    <w:rPr>
                      <w:b/>
                      <w:i/>
                      <w:iCs/>
                      <w:color w:val="808080" w:themeColor="background1" w:themeShade="80"/>
                    </w:rPr>
                    <w:t xml:space="preserve">krajobrazowych </w:t>
                  </w:r>
                  <w:r w:rsidRPr="00517EE9">
                    <w:rPr>
                      <w:b/>
                      <w:i/>
                      <w:iCs/>
                      <w:color w:val="808080" w:themeColor="background1" w:themeShade="80"/>
                    </w:rPr>
                    <w:t xml:space="preserve">znajduje się 20% powierzchni gminy, </w:t>
                  </w:r>
                  <w:r>
                    <w:rPr>
                      <w:b/>
                      <w:i/>
                      <w:iCs/>
                      <w:color w:val="808080" w:themeColor="background1" w:themeShade="80"/>
                    </w:rPr>
                    <w:t xml:space="preserve">natomiast wraz z </w:t>
                  </w:r>
                  <w:r w:rsidRPr="00517EE9">
                    <w:rPr>
                      <w:b/>
                      <w:i/>
                      <w:iCs/>
                      <w:color w:val="808080" w:themeColor="background1" w:themeShade="80"/>
                    </w:rPr>
                    <w:t>otulin</w:t>
                  </w:r>
                  <w:r>
                    <w:rPr>
                      <w:b/>
                      <w:i/>
                      <w:iCs/>
                      <w:color w:val="808080" w:themeColor="background1" w:themeShade="80"/>
                    </w:rPr>
                    <w:t>ami</w:t>
                  </w:r>
                  <w:r w:rsidRPr="00517EE9">
                    <w:rPr>
                      <w:b/>
                      <w:i/>
                      <w:iCs/>
                      <w:color w:val="808080" w:themeColor="background1" w:themeShade="80"/>
                    </w:rPr>
                    <w:t xml:space="preserve"> </w:t>
                  </w:r>
                  <w:r>
                    <w:rPr>
                      <w:b/>
                      <w:i/>
                      <w:iCs/>
                      <w:color w:val="808080" w:themeColor="background1" w:themeShade="80"/>
                    </w:rPr>
                    <w:t xml:space="preserve">aż </w:t>
                  </w:r>
                  <w:r w:rsidRPr="00517EE9">
                    <w:rPr>
                      <w:b/>
                      <w:i/>
                      <w:iCs/>
                      <w:color w:val="808080" w:themeColor="background1" w:themeShade="80"/>
                    </w:rPr>
                    <w:t>50% powierzchni gminy podlega ograniczeniom wynikającym z rozporządzeń wojewody wielkopolskiego dotyczących utworzenia parków i ustanowienia planów ochrony PK Puszcza Zielonka i PK Promno.</w:t>
                  </w:r>
                </w:p>
              </w:txbxContent>
            </v:textbox>
            <w10:wrap type="none" anchorx="margin" anchory="margin"/>
            <w10:anchorlock/>
          </v:shape>
        </w:pict>
      </w:r>
    </w:p>
    <w:p w:rsidR="009A7ABC" w:rsidRPr="00885434" w:rsidRDefault="00927DA9" w:rsidP="00927DA9">
      <w:pPr>
        <w:pStyle w:val="Nagwek2"/>
        <w:ind w:left="360"/>
        <w:rPr>
          <w:rFonts w:asciiTheme="minorHAnsi" w:hAnsiTheme="minorHAnsi"/>
          <w:color w:val="943634" w:themeColor="accent2" w:themeShade="BF"/>
        </w:rPr>
      </w:pPr>
      <w:bookmarkStart w:id="16" w:name="_Toc321135333"/>
      <w:r w:rsidRPr="00885434">
        <w:rPr>
          <w:rFonts w:asciiTheme="minorHAnsi" w:hAnsiTheme="minorHAnsi"/>
          <w:color w:val="943634" w:themeColor="accent2" w:themeShade="BF"/>
        </w:rPr>
        <w:t xml:space="preserve">5.6 </w:t>
      </w:r>
      <w:r w:rsidR="009A7ABC" w:rsidRPr="00885434">
        <w:rPr>
          <w:rFonts w:asciiTheme="minorHAnsi" w:hAnsiTheme="minorHAnsi"/>
          <w:color w:val="943634" w:themeColor="accent2" w:themeShade="BF"/>
        </w:rPr>
        <w:t>Analiza finansowa miasta</w:t>
      </w:r>
      <w:bookmarkEnd w:id="16"/>
    </w:p>
    <w:p w:rsidR="00CB0D84" w:rsidRDefault="005E5E81" w:rsidP="00517EE9">
      <w:pPr>
        <w:spacing w:before="60" w:after="60"/>
      </w:pPr>
      <w:r w:rsidRPr="00885434">
        <w:t xml:space="preserve">Na dzień 31 grudnia 2010 roku </w:t>
      </w:r>
      <w:r w:rsidR="00B0291C">
        <w:t>dochody budżetu g</w:t>
      </w:r>
      <w:r w:rsidR="009A2EE9" w:rsidRPr="00885434">
        <w:t>miny Pobiedziska wyniosły</w:t>
      </w:r>
      <w:r w:rsidRPr="00885434">
        <w:t xml:space="preserve"> </w:t>
      </w:r>
      <w:r w:rsidR="00BE3EA2">
        <w:t xml:space="preserve">ponad </w:t>
      </w:r>
      <w:r w:rsidRPr="00885434">
        <w:t>49</w:t>
      </w:r>
      <w:r w:rsidR="00BE3EA2">
        <w:t>,</w:t>
      </w:r>
      <w:r w:rsidRPr="00885434">
        <w:t>4</w:t>
      </w:r>
      <w:r w:rsidR="00BE3EA2">
        <w:t xml:space="preserve"> mln zł</w:t>
      </w:r>
      <w:r w:rsidRPr="00885434">
        <w:t xml:space="preserve">, </w:t>
      </w:r>
      <w:r w:rsidR="00661460">
        <w:br/>
      </w:r>
      <w:r w:rsidR="009A2EE9" w:rsidRPr="00885434">
        <w:t xml:space="preserve">a wydatki </w:t>
      </w:r>
      <w:r w:rsidR="00BE3EA2">
        <w:t xml:space="preserve">blisko </w:t>
      </w:r>
      <w:r w:rsidR="009A2EE9" w:rsidRPr="00885434">
        <w:t>58</w:t>
      </w:r>
      <w:r w:rsidR="00BE3EA2">
        <w:t>,1 mln zł</w:t>
      </w:r>
      <w:r w:rsidRPr="00885434">
        <w:t>.</w:t>
      </w:r>
      <w:r w:rsidR="002F2936" w:rsidRPr="00885434">
        <w:t xml:space="preserve"> Saldo dochodów i wydatków było ujemne i wyniosło -8</w:t>
      </w:r>
      <w:r w:rsidR="00BE3EA2">
        <w:t>,7 mln</w:t>
      </w:r>
      <w:r w:rsidR="002F2936" w:rsidRPr="00885434">
        <w:t xml:space="preserve"> zł.</w:t>
      </w:r>
    </w:p>
    <w:p w:rsidR="00CB5520" w:rsidRPr="00CB5520" w:rsidRDefault="00CB5520" w:rsidP="00CB5520">
      <w:pPr>
        <w:pStyle w:val="Legenda"/>
        <w:spacing w:after="0"/>
        <w:rPr>
          <w:b w:val="0"/>
          <w:color w:val="auto"/>
          <w:sz w:val="20"/>
        </w:rPr>
      </w:pPr>
      <w:r w:rsidRPr="00CB5520">
        <w:rPr>
          <w:b w:val="0"/>
          <w:color w:val="auto"/>
          <w:sz w:val="20"/>
        </w:rPr>
        <w:t xml:space="preserve">Wykres </w:t>
      </w:r>
      <w:r w:rsidR="00E07640" w:rsidRPr="00CB5520">
        <w:rPr>
          <w:b w:val="0"/>
          <w:color w:val="auto"/>
          <w:sz w:val="20"/>
        </w:rPr>
        <w:fldChar w:fldCharType="begin"/>
      </w:r>
      <w:r w:rsidRPr="00CB5520">
        <w:rPr>
          <w:b w:val="0"/>
          <w:color w:val="auto"/>
          <w:sz w:val="20"/>
        </w:rPr>
        <w:instrText xml:space="preserve"> SEQ Wykres \* ARABIC </w:instrText>
      </w:r>
      <w:r w:rsidR="00E07640" w:rsidRPr="00CB5520">
        <w:rPr>
          <w:b w:val="0"/>
          <w:color w:val="auto"/>
          <w:sz w:val="20"/>
        </w:rPr>
        <w:fldChar w:fldCharType="separate"/>
      </w:r>
      <w:r w:rsidR="00D540D9">
        <w:rPr>
          <w:b w:val="0"/>
          <w:noProof/>
          <w:color w:val="auto"/>
          <w:sz w:val="20"/>
        </w:rPr>
        <w:t>18</w:t>
      </w:r>
      <w:r w:rsidR="00E07640" w:rsidRPr="00CB5520">
        <w:rPr>
          <w:b w:val="0"/>
          <w:color w:val="auto"/>
          <w:sz w:val="20"/>
        </w:rPr>
        <w:fldChar w:fldCharType="end"/>
      </w:r>
      <w:r w:rsidRPr="00CB5520">
        <w:rPr>
          <w:b w:val="0"/>
          <w:color w:val="auto"/>
          <w:sz w:val="20"/>
        </w:rPr>
        <w:t>.</w:t>
      </w:r>
    </w:p>
    <w:p w:rsidR="00B0291C" w:rsidRDefault="00B0291C" w:rsidP="00CB5520">
      <w:pPr>
        <w:spacing w:before="60" w:after="0"/>
        <w:jc w:val="center"/>
      </w:pPr>
      <w:r w:rsidRPr="00B0291C">
        <w:rPr>
          <w:noProof/>
        </w:rPr>
        <w:drawing>
          <wp:inline distT="0" distB="0" distL="0" distR="0">
            <wp:extent cx="4572000" cy="2741083"/>
            <wp:effectExtent l="0" t="0" r="0" b="0"/>
            <wp:docPr id="4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B5520" w:rsidRDefault="00CB5520" w:rsidP="007A3D68">
      <w:pPr>
        <w:spacing w:after="60"/>
        <w:jc w:val="both"/>
      </w:pPr>
      <w:r>
        <w:t>Źródło: opracowanie własne na podstawie danych GUS.</w:t>
      </w:r>
    </w:p>
    <w:p w:rsidR="00745893" w:rsidRPr="00745893" w:rsidRDefault="00745893" w:rsidP="00745893">
      <w:pPr>
        <w:pStyle w:val="Legenda"/>
        <w:spacing w:after="0"/>
        <w:rPr>
          <w:b w:val="0"/>
          <w:color w:val="auto"/>
          <w:sz w:val="20"/>
          <w:szCs w:val="20"/>
        </w:rPr>
      </w:pPr>
      <w:r w:rsidRPr="00745893">
        <w:rPr>
          <w:b w:val="0"/>
          <w:color w:val="auto"/>
          <w:sz w:val="20"/>
          <w:szCs w:val="20"/>
        </w:rPr>
        <w:t xml:space="preserve">Tabela </w:t>
      </w:r>
      <w:r w:rsidR="00E07640" w:rsidRPr="00745893">
        <w:rPr>
          <w:b w:val="0"/>
          <w:color w:val="auto"/>
          <w:sz w:val="20"/>
          <w:szCs w:val="20"/>
        </w:rPr>
        <w:fldChar w:fldCharType="begin"/>
      </w:r>
      <w:r w:rsidRPr="00745893">
        <w:rPr>
          <w:b w:val="0"/>
          <w:color w:val="auto"/>
          <w:sz w:val="20"/>
          <w:szCs w:val="20"/>
        </w:rPr>
        <w:instrText xml:space="preserve"> SEQ Tabela \* ARABIC </w:instrText>
      </w:r>
      <w:r w:rsidR="00E07640" w:rsidRPr="00745893">
        <w:rPr>
          <w:b w:val="0"/>
          <w:color w:val="auto"/>
          <w:sz w:val="20"/>
          <w:szCs w:val="20"/>
        </w:rPr>
        <w:fldChar w:fldCharType="separate"/>
      </w:r>
      <w:r w:rsidRPr="00745893">
        <w:rPr>
          <w:b w:val="0"/>
          <w:color w:val="auto"/>
          <w:sz w:val="20"/>
          <w:szCs w:val="20"/>
        </w:rPr>
        <w:t>2</w:t>
      </w:r>
      <w:r w:rsidR="00E07640" w:rsidRPr="00745893">
        <w:rPr>
          <w:b w:val="0"/>
          <w:color w:val="auto"/>
          <w:sz w:val="20"/>
          <w:szCs w:val="20"/>
        </w:rPr>
        <w:fldChar w:fldCharType="end"/>
      </w:r>
      <w:r w:rsidRPr="00745893">
        <w:rPr>
          <w:b w:val="0"/>
          <w:color w:val="auto"/>
          <w:sz w:val="20"/>
          <w:szCs w:val="20"/>
        </w:rPr>
        <w:t>. Struktura dochodów i wydatków budżetu Gminy Pobiedziska w 2010 r.</w:t>
      </w:r>
    </w:p>
    <w:tbl>
      <w:tblPr>
        <w:tblStyle w:val="Jasnasiatka"/>
        <w:tblW w:w="7223" w:type="dxa"/>
        <w:jc w:val="center"/>
        <w:tblInd w:w="-147" w:type="dxa"/>
        <w:tblLook w:val="04A0"/>
      </w:tblPr>
      <w:tblGrid>
        <w:gridCol w:w="5670"/>
        <w:gridCol w:w="1553"/>
      </w:tblGrid>
      <w:tr w:rsidR="00745893" w:rsidRPr="00FC12CC" w:rsidTr="00FC12CC">
        <w:trPr>
          <w:cnfStyle w:val="100000000000"/>
          <w:trHeight w:val="257"/>
          <w:jc w:val="center"/>
        </w:trPr>
        <w:tc>
          <w:tcPr>
            <w:cnfStyle w:val="001000000000"/>
            <w:tcW w:w="5670" w:type="dxa"/>
            <w:shd w:val="clear" w:color="auto" w:fill="F2F2F2" w:themeFill="background1" w:themeFillShade="F2"/>
            <w:noWrap/>
            <w:hideMark/>
          </w:tcPr>
          <w:p w:rsidR="00745893" w:rsidRPr="00FC12CC" w:rsidRDefault="00745893" w:rsidP="00745893">
            <w:pPr>
              <w:jc w:val="center"/>
              <w:rPr>
                <w:rFonts w:asciiTheme="minorHAnsi" w:hAnsiTheme="minorHAnsi" w:cs="Arial"/>
                <w:bCs w:val="0"/>
                <w:sz w:val="20"/>
                <w:szCs w:val="20"/>
              </w:rPr>
            </w:pPr>
            <w:r w:rsidRPr="00FC12CC">
              <w:rPr>
                <w:rFonts w:asciiTheme="minorHAnsi" w:hAnsiTheme="minorHAnsi" w:cs="Arial"/>
                <w:bCs w:val="0"/>
                <w:sz w:val="20"/>
                <w:szCs w:val="20"/>
              </w:rPr>
              <w:t>Wyszczególnienie</w:t>
            </w:r>
          </w:p>
        </w:tc>
        <w:tc>
          <w:tcPr>
            <w:tcW w:w="1553" w:type="dxa"/>
            <w:shd w:val="clear" w:color="auto" w:fill="F2F2F2" w:themeFill="background1" w:themeFillShade="F2"/>
            <w:noWrap/>
            <w:hideMark/>
          </w:tcPr>
          <w:p w:rsidR="00745893" w:rsidRPr="00FC12CC" w:rsidRDefault="00745893" w:rsidP="00745893">
            <w:pPr>
              <w:jc w:val="center"/>
              <w:cnfStyle w:val="100000000000"/>
              <w:rPr>
                <w:rFonts w:asciiTheme="minorHAnsi" w:hAnsiTheme="minorHAnsi" w:cs="Arial"/>
                <w:bCs w:val="0"/>
                <w:sz w:val="20"/>
                <w:szCs w:val="20"/>
              </w:rPr>
            </w:pPr>
            <w:r w:rsidRPr="00FC12CC">
              <w:rPr>
                <w:rFonts w:asciiTheme="minorHAnsi" w:hAnsiTheme="minorHAnsi" w:cs="Arial"/>
                <w:bCs w:val="0"/>
                <w:sz w:val="20"/>
                <w:szCs w:val="20"/>
              </w:rPr>
              <w:t>Wykonanie</w:t>
            </w:r>
          </w:p>
        </w:tc>
      </w:tr>
      <w:tr w:rsidR="00745893" w:rsidRPr="00FC12CC" w:rsidTr="00FC12CC">
        <w:trPr>
          <w:cnfStyle w:val="000000100000"/>
          <w:trHeight w:val="245"/>
          <w:jc w:val="center"/>
        </w:trPr>
        <w:tc>
          <w:tcPr>
            <w:cnfStyle w:val="001000000000"/>
            <w:tcW w:w="5670" w:type="dxa"/>
            <w:shd w:val="clear" w:color="auto" w:fill="auto"/>
            <w:noWrap/>
            <w:hideMark/>
          </w:tcPr>
          <w:p w:rsidR="00745893" w:rsidRPr="00FC12CC" w:rsidRDefault="00102C5B" w:rsidP="00745893">
            <w:pPr>
              <w:rPr>
                <w:rFonts w:asciiTheme="minorHAnsi" w:hAnsiTheme="minorHAnsi" w:cs="Arial"/>
                <w:bCs w:val="0"/>
                <w:sz w:val="20"/>
                <w:szCs w:val="20"/>
              </w:rPr>
            </w:pPr>
            <w:r w:rsidRPr="00FC12CC">
              <w:rPr>
                <w:rFonts w:asciiTheme="minorHAnsi" w:hAnsiTheme="minorHAnsi" w:cs="Arial"/>
                <w:bCs w:val="0"/>
                <w:sz w:val="20"/>
                <w:szCs w:val="20"/>
              </w:rPr>
              <w:t xml:space="preserve">Dochody ogółem, z </w:t>
            </w:r>
            <w:r w:rsidR="00745893" w:rsidRPr="00FC12CC">
              <w:rPr>
                <w:rFonts w:asciiTheme="minorHAnsi" w:hAnsiTheme="minorHAnsi" w:cs="Arial"/>
                <w:bCs w:val="0"/>
                <w:sz w:val="20"/>
                <w:szCs w:val="20"/>
              </w:rPr>
              <w:t>tego:</w:t>
            </w:r>
          </w:p>
        </w:tc>
        <w:tc>
          <w:tcPr>
            <w:tcW w:w="1553" w:type="dxa"/>
            <w:shd w:val="clear" w:color="auto" w:fill="auto"/>
            <w:noWrap/>
            <w:hideMark/>
          </w:tcPr>
          <w:p w:rsidR="00745893" w:rsidRPr="00FC12CC" w:rsidRDefault="00745893" w:rsidP="00745893">
            <w:pPr>
              <w:jc w:val="right"/>
              <w:cnfStyle w:val="000000100000"/>
              <w:rPr>
                <w:rFonts w:cs="Arial"/>
                <w:b/>
                <w:bCs/>
                <w:sz w:val="20"/>
                <w:szCs w:val="20"/>
              </w:rPr>
            </w:pPr>
            <w:r w:rsidRPr="00FC12CC">
              <w:rPr>
                <w:rFonts w:cs="Arial"/>
                <w:b/>
                <w:bCs/>
                <w:sz w:val="20"/>
                <w:szCs w:val="20"/>
              </w:rPr>
              <w:t>49 406 817,02</w:t>
            </w:r>
          </w:p>
        </w:tc>
      </w:tr>
      <w:tr w:rsidR="00745893" w:rsidRPr="00FC12CC" w:rsidTr="00FC12CC">
        <w:trPr>
          <w:cnfStyle w:val="000000010000"/>
          <w:trHeight w:val="257"/>
          <w:jc w:val="center"/>
        </w:trPr>
        <w:tc>
          <w:tcPr>
            <w:cnfStyle w:val="001000000000"/>
            <w:tcW w:w="5670" w:type="dxa"/>
            <w:shd w:val="clear" w:color="auto" w:fill="auto"/>
            <w:noWrap/>
            <w:hideMark/>
          </w:tcPr>
          <w:p w:rsidR="00745893" w:rsidRPr="00FC12CC" w:rsidRDefault="00745893" w:rsidP="00FC12CC">
            <w:pPr>
              <w:ind w:firstLineChars="158" w:firstLine="316"/>
              <w:rPr>
                <w:rFonts w:asciiTheme="minorHAnsi" w:hAnsiTheme="minorHAnsi" w:cs="Arial"/>
                <w:b w:val="0"/>
                <w:sz w:val="20"/>
                <w:szCs w:val="20"/>
              </w:rPr>
            </w:pPr>
            <w:r w:rsidRPr="00FC12CC">
              <w:rPr>
                <w:rFonts w:asciiTheme="minorHAnsi" w:hAnsiTheme="minorHAnsi" w:cs="Arial"/>
                <w:b w:val="0"/>
                <w:sz w:val="20"/>
                <w:szCs w:val="20"/>
              </w:rPr>
              <w:t>Dochody bieżące</w:t>
            </w:r>
          </w:p>
        </w:tc>
        <w:tc>
          <w:tcPr>
            <w:tcW w:w="1553" w:type="dxa"/>
            <w:shd w:val="clear" w:color="auto" w:fill="auto"/>
            <w:noWrap/>
            <w:hideMark/>
          </w:tcPr>
          <w:p w:rsidR="00745893" w:rsidRPr="00FC12CC" w:rsidRDefault="00745893" w:rsidP="00745893">
            <w:pPr>
              <w:jc w:val="right"/>
              <w:cnfStyle w:val="000000010000"/>
              <w:rPr>
                <w:rFonts w:cs="Arial"/>
                <w:sz w:val="20"/>
                <w:szCs w:val="20"/>
              </w:rPr>
            </w:pPr>
            <w:r w:rsidRPr="00FC12CC">
              <w:rPr>
                <w:rFonts w:cs="Arial"/>
                <w:sz w:val="20"/>
                <w:szCs w:val="20"/>
              </w:rPr>
              <w:t>44 462 358,38</w:t>
            </w:r>
          </w:p>
        </w:tc>
      </w:tr>
      <w:tr w:rsidR="00745893" w:rsidRPr="00FC12CC" w:rsidTr="00FC12CC">
        <w:trPr>
          <w:cnfStyle w:val="000000100000"/>
          <w:trHeight w:val="257"/>
          <w:jc w:val="center"/>
        </w:trPr>
        <w:tc>
          <w:tcPr>
            <w:cnfStyle w:val="001000000000"/>
            <w:tcW w:w="5670" w:type="dxa"/>
            <w:shd w:val="clear" w:color="auto" w:fill="auto"/>
            <w:noWrap/>
            <w:hideMark/>
          </w:tcPr>
          <w:p w:rsidR="00745893" w:rsidRPr="00FC12CC" w:rsidRDefault="00745893" w:rsidP="00FC12CC">
            <w:pPr>
              <w:ind w:firstLineChars="158" w:firstLine="316"/>
              <w:rPr>
                <w:rFonts w:asciiTheme="minorHAnsi" w:hAnsiTheme="minorHAnsi" w:cs="Arial"/>
                <w:b w:val="0"/>
                <w:sz w:val="20"/>
                <w:szCs w:val="20"/>
              </w:rPr>
            </w:pPr>
            <w:r w:rsidRPr="00FC12CC">
              <w:rPr>
                <w:rFonts w:asciiTheme="minorHAnsi" w:hAnsiTheme="minorHAnsi" w:cs="Arial"/>
                <w:b w:val="0"/>
                <w:sz w:val="20"/>
                <w:szCs w:val="20"/>
              </w:rPr>
              <w:t>Dochody majątkowe</w:t>
            </w:r>
          </w:p>
        </w:tc>
        <w:tc>
          <w:tcPr>
            <w:tcW w:w="1553" w:type="dxa"/>
            <w:shd w:val="clear" w:color="auto" w:fill="auto"/>
            <w:noWrap/>
            <w:hideMark/>
          </w:tcPr>
          <w:p w:rsidR="00745893" w:rsidRPr="00FC12CC" w:rsidRDefault="00745893" w:rsidP="00745893">
            <w:pPr>
              <w:jc w:val="right"/>
              <w:cnfStyle w:val="000000100000"/>
              <w:rPr>
                <w:rFonts w:cs="Arial"/>
                <w:sz w:val="20"/>
                <w:szCs w:val="20"/>
              </w:rPr>
            </w:pPr>
            <w:r w:rsidRPr="00FC12CC">
              <w:rPr>
                <w:rFonts w:cs="Arial"/>
                <w:sz w:val="20"/>
                <w:szCs w:val="20"/>
              </w:rPr>
              <w:t>4 944 458,64</w:t>
            </w:r>
          </w:p>
        </w:tc>
      </w:tr>
      <w:tr w:rsidR="00745893" w:rsidRPr="00FC12CC" w:rsidTr="00FC12CC">
        <w:trPr>
          <w:cnfStyle w:val="000000010000"/>
          <w:trHeight w:val="245"/>
          <w:jc w:val="center"/>
        </w:trPr>
        <w:tc>
          <w:tcPr>
            <w:cnfStyle w:val="001000000000"/>
            <w:tcW w:w="5670" w:type="dxa"/>
            <w:shd w:val="clear" w:color="auto" w:fill="auto"/>
            <w:noWrap/>
            <w:hideMark/>
          </w:tcPr>
          <w:p w:rsidR="00745893" w:rsidRPr="00FC12CC" w:rsidRDefault="00102C5B" w:rsidP="00745893">
            <w:pPr>
              <w:rPr>
                <w:rFonts w:asciiTheme="minorHAnsi" w:hAnsiTheme="minorHAnsi" w:cs="Arial"/>
                <w:bCs w:val="0"/>
                <w:sz w:val="20"/>
                <w:szCs w:val="20"/>
              </w:rPr>
            </w:pPr>
            <w:r w:rsidRPr="00FC12CC">
              <w:rPr>
                <w:rFonts w:asciiTheme="minorHAnsi" w:hAnsiTheme="minorHAnsi" w:cs="Arial"/>
                <w:bCs w:val="0"/>
                <w:sz w:val="20"/>
                <w:szCs w:val="20"/>
              </w:rPr>
              <w:t xml:space="preserve">Wydatki ogółem, z </w:t>
            </w:r>
            <w:r w:rsidR="00745893" w:rsidRPr="00FC12CC">
              <w:rPr>
                <w:rFonts w:asciiTheme="minorHAnsi" w:hAnsiTheme="minorHAnsi" w:cs="Arial"/>
                <w:bCs w:val="0"/>
                <w:sz w:val="20"/>
                <w:szCs w:val="20"/>
              </w:rPr>
              <w:t>tego:</w:t>
            </w:r>
          </w:p>
        </w:tc>
        <w:tc>
          <w:tcPr>
            <w:tcW w:w="1553" w:type="dxa"/>
            <w:shd w:val="clear" w:color="auto" w:fill="auto"/>
            <w:noWrap/>
            <w:hideMark/>
          </w:tcPr>
          <w:p w:rsidR="00745893" w:rsidRPr="00FC12CC" w:rsidRDefault="00745893" w:rsidP="00745893">
            <w:pPr>
              <w:jc w:val="right"/>
              <w:cnfStyle w:val="000000010000"/>
              <w:rPr>
                <w:rFonts w:cs="Arial"/>
                <w:b/>
                <w:bCs/>
                <w:sz w:val="20"/>
                <w:szCs w:val="20"/>
              </w:rPr>
            </w:pPr>
            <w:r w:rsidRPr="00FC12CC">
              <w:rPr>
                <w:rFonts w:cs="Arial"/>
                <w:b/>
                <w:bCs/>
                <w:sz w:val="20"/>
                <w:szCs w:val="20"/>
              </w:rPr>
              <w:t>58 099 576,98</w:t>
            </w:r>
          </w:p>
        </w:tc>
      </w:tr>
      <w:tr w:rsidR="00745893" w:rsidRPr="00FC12CC" w:rsidTr="00FC12CC">
        <w:trPr>
          <w:cnfStyle w:val="000000100000"/>
          <w:trHeight w:val="257"/>
          <w:jc w:val="center"/>
        </w:trPr>
        <w:tc>
          <w:tcPr>
            <w:cnfStyle w:val="001000000000"/>
            <w:tcW w:w="5670" w:type="dxa"/>
            <w:shd w:val="clear" w:color="auto" w:fill="auto"/>
            <w:noWrap/>
            <w:hideMark/>
          </w:tcPr>
          <w:p w:rsidR="00745893" w:rsidRPr="00FC12CC" w:rsidRDefault="00745893" w:rsidP="00FC12CC">
            <w:pPr>
              <w:ind w:firstLineChars="158" w:firstLine="316"/>
              <w:rPr>
                <w:rFonts w:asciiTheme="minorHAnsi" w:hAnsiTheme="minorHAnsi" w:cs="Arial"/>
                <w:b w:val="0"/>
                <w:sz w:val="20"/>
                <w:szCs w:val="20"/>
              </w:rPr>
            </w:pPr>
            <w:r w:rsidRPr="00FC12CC">
              <w:rPr>
                <w:rFonts w:asciiTheme="minorHAnsi" w:hAnsiTheme="minorHAnsi" w:cs="Arial"/>
                <w:b w:val="0"/>
                <w:sz w:val="20"/>
                <w:szCs w:val="20"/>
              </w:rPr>
              <w:t>Wydatki bieżące</w:t>
            </w:r>
          </w:p>
        </w:tc>
        <w:tc>
          <w:tcPr>
            <w:tcW w:w="1553" w:type="dxa"/>
            <w:shd w:val="clear" w:color="auto" w:fill="auto"/>
            <w:noWrap/>
            <w:hideMark/>
          </w:tcPr>
          <w:p w:rsidR="00745893" w:rsidRPr="00FC12CC" w:rsidRDefault="00745893" w:rsidP="00745893">
            <w:pPr>
              <w:jc w:val="right"/>
              <w:cnfStyle w:val="000000100000"/>
              <w:rPr>
                <w:rFonts w:cs="Arial"/>
                <w:sz w:val="20"/>
                <w:szCs w:val="20"/>
              </w:rPr>
            </w:pPr>
            <w:r w:rsidRPr="00FC12CC">
              <w:rPr>
                <w:rFonts w:cs="Arial"/>
                <w:sz w:val="20"/>
                <w:szCs w:val="20"/>
              </w:rPr>
              <w:t>40 509 580,06</w:t>
            </w:r>
          </w:p>
        </w:tc>
      </w:tr>
      <w:tr w:rsidR="00745893" w:rsidRPr="00FC12CC" w:rsidTr="00FC12CC">
        <w:trPr>
          <w:cnfStyle w:val="000000010000"/>
          <w:trHeight w:val="257"/>
          <w:jc w:val="center"/>
        </w:trPr>
        <w:tc>
          <w:tcPr>
            <w:cnfStyle w:val="001000000000"/>
            <w:tcW w:w="5670" w:type="dxa"/>
            <w:shd w:val="clear" w:color="auto" w:fill="auto"/>
            <w:noWrap/>
            <w:hideMark/>
          </w:tcPr>
          <w:p w:rsidR="00745893" w:rsidRPr="00FC12CC" w:rsidRDefault="00745893" w:rsidP="00FC12CC">
            <w:pPr>
              <w:ind w:firstLineChars="158" w:firstLine="316"/>
              <w:rPr>
                <w:rFonts w:asciiTheme="minorHAnsi" w:hAnsiTheme="minorHAnsi" w:cs="Arial"/>
                <w:b w:val="0"/>
                <w:sz w:val="20"/>
                <w:szCs w:val="20"/>
              </w:rPr>
            </w:pPr>
            <w:r w:rsidRPr="00FC12CC">
              <w:rPr>
                <w:rFonts w:asciiTheme="minorHAnsi" w:hAnsiTheme="minorHAnsi" w:cs="Arial"/>
                <w:b w:val="0"/>
                <w:sz w:val="20"/>
                <w:szCs w:val="20"/>
              </w:rPr>
              <w:t>Wydatki majątkowe</w:t>
            </w:r>
          </w:p>
        </w:tc>
        <w:tc>
          <w:tcPr>
            <w:tcW w:w="1553" w:type="dxa"/>
            <w:shd w:val="clear" w:color="auto" w:fill="auto"/>
            <w:noWrap/>
            <w:hideMark/>
          </w:tcPr>
          <w:p w:rsidR="00745893" w:rsidRPr="00FC12CC" w:rsidRDefault="00745893" w:rsidP="00745893">
            <w:pPr>
              <w:jc w:val="right"/>
              <w:cnfStyle w:val="000000010000"/>
              <w:rPr>
                <w:rFonts w:cs="Arial"/>
                <w:sz w:val="20"/>
                <w:szCs w:val="20"/>
              </w:rPr>
            </w:pPr>
            <w:r w:rsidRPr="00FC12CC">
              <w:rPr>
                <w:rFonts w:cs="Arial"/>
                <w:sz w:val="20"/>
                <w:szCs w:val="20"/>
              </w:rPr>
              <w:t>17 589 996,92</w:t>
            </w:r>
          </w:p>
        </w:tc>
      </w:tr>
      <w:tr w:rsidR="00745893" w:rsidRPr="00FC12CC" w:rsidTr="00FC12CC">
        <w:trPr>
          <w:cnfStyle w:val="000000100000"/>
          <w:trHeight w:val="245"/>
          <w:jc w:val="center"/>
        </w:trPr>
        <w:tc>
          <w:tcPr>
            <w:cnfStyle w:val="001000000000"/>
            <w:tcW w:w="5670" w:type="dxa"/>
            <w:shd w:val="clear" w:color="auto" w:fill="F2F2F2" w:themeFill="background1" w:themeFillShade="F2"/>
            <w:noWrap/>
            <w:hideMark/>
          </w:tcPr>
          <w:p w:rsidR="00745893" w:rsidRPr="00FC12CC" w:rsidRDefault="00745893" w:rsidP="00745893">
            <w:pPr>
              <w:rPr>
                <w:rFonts w:asciiTheme="minorHAnsi" w:hAnsiTheme="minorHAnsi" w:cs="Arial"/>
                <w:b w:val="0"/>
                <w:bCs w:val="0"/>
                <w:sz w:val="20"/>
                <w:szCs w:val="20"/>
              </w:rPr>
            </w:pPr>
            <w:r w:rsidRPr="00FC12CC">
              <w:rPr>
                <w:rFonts w:asciiTheme="minorHAnsi" w:hAnsiTheme="minorHAnsi" w:cs="Arial"/>
                <w:b w:val="0"/>
                <w:bCs w:val="0"/>
                <w:sz w:val="20"/>
                <w:szCs w:val="20"/>
              </w:rPr>
              <w:t>WYNIK OGÓŁEM</w:t>
            </w:r>
          </w:p>
        </w:tc>
        <w:tc>
          <w:tcPr>
            <w:tcW w:w="1553" w:type="dxa"/>
            <w:shd w:val="clear" w:color="auto" w:fill="F2F2F2" w:themeFill="background1" w:themeFillShade="F2"/>
            <w:noWrap/>
            <w:hideMark/>
          </w:tcPr>
          <w:p w:rsidR="00745893" w:rsidRPr="00FC12CC" w:rsidRDefault="00745893" w:rsidP="00745893">
            <w:pPr>
              <w:jc w:val="right"/>
              <w:cnfStyle w:val="000000100000"/>
              <w:rPr>
                <w:rFonts w:cs="Arial"/>
                <w:bCs/>
                <w:sz w:val="20"/>
                <w:szCs w:val="20"/>
              </w:rPr>
            </w:pPr>
            <w:r w:rsidRPr="00FC12CC">
              <w:rPr>
                <w:rFonts w:cs="Arial"/>
                <w:bCs/>
                <w:sz w:val="20"/>
                <w:szCs w:val="20"/>
              </w:rPr>
              <w:t>-8 692 759,96</w:t>
            </w:r>
          </w:p>
        </w:tc>
      </w:tr>
      <w:tr w:rsidR="00745893" w:rsidRPr="00FC12CC" w:rsidTr="00FC12CC">
        <w:trPr>
          <w:cnfStyle w:val="000000010000"/>
          <w:trHeight w:val="257"/>
          <w:jc w:val="center"/>
        </w:trPr>
        <w:tc>
          <w:tcPr>
            <w:cnfStyle w:val="001000000000"/>
            <w:tcW w:w="5670" w:type="dxa"/>
            <w:shd w:val="clear" w:color="auto" w:fill="auto"/>
            <w:noWrap/>
            <w:hideMark/>
          </w:tcPr>
          <w:p w:rsidR="00745893" w:rsidRPr="00FC12CC" w:rsidRDefault="00745893" w:rsidP="00FC12CC">
            <w:pPr>
              <w:ind w:firstLineChars="158" w:firstLine="316"/>
              <w:rPr>
                <w:rFonts w:asciiTheme="minorHAnsi" w:hAnsiTheme="minorHAnsi" w:cs="Arial"/>
                <w:b w:val="0"/>
                <w:sz w:val="20"/>
                <w:szCs w:val="20"/>
              </w:rPr>
            </w:pPr>
            <w:r w:rsidRPr="00FC12CC">
              <w:rPr>
                <w:rFonts w:asciiTheme="minorHAnsi" w:hAnsiTheme="minorHAnsi" w:cs="Arial"/>
                <w:b w:val="0"/>
                <w:sz w:val="20"/>
                <w:szCs w:val="20"/>
              </w:rPr>
              <w:t>Wynik bieżący (Dochody bieżące - Wydatki bieżące)</w:t>
            </w:r>
          </w:p>
        </w:tc>
        <w:tc>
          <w:tcPr>
            <w:tcW w:w="1553" w:type="dxa"/>
            <w:shd w:val="clear" w:color="auto" w:fill="auto"/>
            <w:noWrap/>
            <w:hideMark/>
          </w:tcPr>
          <w:p w:rsidR="00745893" w:rsidRPr="00FC12CC" w:rsidRDefault="00745893" w:rsidP="00745893">
            <w:pPr>
              <w:jc w:val="right"/>
              <w:cnfStyle w:val="000000010000"/>
              <w:rPr>
                <w:rFonts w:cs="Arial"/>
                <w:sz w:val="20"/>
                <w:szCs w:val="20"/>
              </w:rPr>
            </w:pPr>
            <w:r w:rsidRPr="00FC12CC">
              <w:rPr>
                <w:rFonts w:cs="Arial"/>
                <w:sz w:val="20"/>
                <w:szCs w:val="20"/>
              </w:rPr>
              <w:t>3 952 778,32</w:t>
            </w:r>
          </w:p>
        </w:tc>
      </w:tr>
      <w:tr w:rsidR="00745893" w:rsidRPr="00FC12CC" w:rsidTr="00FC12CC">
        <w:trPr>
          <w:cnfStyle w:val="000000100000"/>
          <w:trHeight w:val="268"/>
          <w:jc w:val="center"/>
        </w:trPr>
        <w:tc>
          <w:tcPr>
            <w:cnfStyle w:val="001000000000"/>
            <w:tcW w:w="5670" w:type="dxa"/>
            <w:shd w:val="clear" w:color="auto" w:fill="auto"/>
            <w:noWrap/>
            <w:hideMark/>
          </w:tcPr>
          <w:p w:rsidR="00745893" w:rsidRPr="00FC12CC" w:rsidRDefault="00745893" w:rsidP="00FC12CC">
            <w:pPr>
              <w:ind w:firstLineChars="158" w:firstLine="316"/>
              <w:rPr>
                <w:rFonts w:asciiTheme="minorHAnsi" w:hAnsiTheme="minorHAnsi" w:cs="Arial"/>
                <w:b w:val="0"/>
                <w:sz w:val="20"/>
                <w:szCs w:val="20"/>
              </w:rPr>
            </w:pPr>
            <w:r w:rsidRPr="00FC12CC">
              <w:rPr>
                <w:rFonts w:asciiTheme="minorHAnsi" w:hAnsiTheme="minorHAnsi" w:cs="Arial"/>
                <w:b w:val="0"/>
                <w:sz w:val="20"/>
                <w:szCs w:val="20"/>
              </w:rPr>
              <w:lastRenderedPageBreak/>
              <w:t>Wynik majątkowy ( Dochody majątkowe - Wydatki majątkowe)</w:t>
            </w:r>
          </w:p>
        </w:tc>
        <w:tc>
          <w:tcPr>
            <w:tcW w:w="1553" w:type="dxa"/>
            <w:shd w:val="clear" w:color="auto" w:fill="auto"/>
            <w:noWrap/>
            <w:hideMark/>
          </w:tcPr>
          <w:p w:rsidR="00745893" w:rsidRPr="00FC12CC" w:rsidRDefault="00745893" w:rsidP="00745893">
            <w:pPr>
              <w:jc w:val="right"/>
              <w:cnfStyle w:val="000000100000"/>
              <w:rPr>
                <w:rFonts w:cs="Arial"/>
                <w:sz w:val="20"/>
                <w:szCs w:val="20"/>
              </w:rPr>
            </w:pPr>
            <w:r w:rsidRPr="00FC12CC">
              <w:rPr>
                <w:rFonts w:cs="Arial"/>
                <w:sz w:val="20"/>
                <w:szCs w:val="20"/>
              </w:rPr>
              <w:t>-12 645 538,28</w:t>
            </w:r>
          </w:p>
        </w:tc>
      </w:tr>
    </w:tbl>
    <w:p w:rsidR="00102C5B" w:rsidRPr="00102C5B" w:rsidRDefault="00102C5B" w:rsidP="00102C5B">
      <w:pPr>
        <w:spacing w:after="0"/>
        <w:rPr>
          <w:sz w:val="20"/>
        </w:rPr>
      </w:pPr>
      <w:r w:rsidRPr="00102C5B">
        <w:rPr>
          <w:sz w:val="20"/>
        </w:rPr>
        <w:t>Źródło: „Sprawozdanie z wykonania budżetu Miasta i Gminy Pobiedziska za rok 2010”</w:t>
      </w:r>
      <w:r>
        <w:rPr>
          <w:sz w:val="20"/>
        </w:rPr>
        <w:t>.</w:t>
      </w:r>
    </w:p>
    <w:p w:rsidR="006F620E" w:rsidRPr="006F620E" w:rsidRDefault="006F620E" w:rsidP="006F620E">
      <w:pPr>
        <w:spacing w:after="0"/>
        <w:jc w:val="both"/>
        <w:rPr>
          <w:rFonts w:cs="Arial"/>
        </w:rPr>
      </w:pPr>
      <w:r w:rsidRPr="006F620E">
        <w:rPr>
          <w:rFonts w:cs="Arial"/>
        </w:rPr>
        <w:t>Zgodnie z art. 242 Ustawy z dnia 27 sierpnia 2009 o finansach publicznych spełniony został wymóg:</w:t>
      </w:r>
    </w:p>
    <w:p w:rsidR="006F620E" w:rsidRPr="006F620E" w:rsidRDefault="006F620E" w:rsidP="006F620E">
      <w:pPr>
        <w:numPr>
          <w:ilvl w:val="0"/>
          <w:numId w:val="42"/>
        </w:numPr>
        <w:spacing w:after="0"/>
        <w:jc w:val="both"/>
        <w:rPr>
          <w:rFonts w:cs="Arial"/>
        </w:rPr>
      </w:pPr>
      <w:r w:rsidRPr="006F620E">
        <w:rPr>
          <w:rFonts w:cs="Arial"/>
        </w:rPr>
        <w:t>wydatki bieżące sfinansowane zostały z dochodów bieżących - powstała nadwyżka 3.952.778,32 zł,</w:t>
      </w:r>
    </w:p>
    <w:p w:rsidR="006F620E" w:rsidRPr="006F620E" w:rsidRDefault="006F620E" w:rsidP="006F620E">
      <w:pPr>
        <w:numPr>
          <w:ilvl w:val="0"/>
          <w:numId w:val="42"/>
        </w:numPr>
        <w:spacing w:after="0"/>
        <w:jc w:val="both"/>
        <w:rPr>
          <w:rFonts w:cs="Arial"/>
        </w:rPr>
      </w:pPr>
      <w:r w:rsidRPr="006F620E">
        <w:rPr>
          <w:rFonts w:cs="Arial"/>
        </w:rPr>
        <w:t>wydatki majątkowe sfinansowane zostały z dochodów bieżących, dochodów majątkowych oraz zaciągniętych pożyczek i kredytów na realizację zadań inwestycyjnych.</w:t>
      </w:r>
    </w:p>
    <w:p w:rsidR="00745893" w:rsidRPr="00745893" w:rsidRDefault="00745893" w:rsidP="00745893">
      <w:pPr>
        <w:spacing w:after="0"/>
      </w:pPr>
    </w:p>
    <w:p w:rsidR="00FD778F" w:rsidRPr="00517EE9" w:rsidRDefault="00FD778F" w:rsidP="00517EE9">
      <w:pPr>
        <w:pStyle w:val="Legenda"/>
        <w:spacing w:after="0"/>
        <w:rPr>
          <w:b w:val="0"/>
          <w:color w:val="auto"/>
          <w:sz w:val="20"/>
          <w:szCs w:val="20"/>
        </w:rPr>
      </w:pPr>
      <w:r w:rsidRPr="00517EE9">
        <w:rPr>
          <w:b w:val="0"/>
          <w:color w:val="auto"/>
          <w:sz w:val="20"/>
          <w:szCs w:val="20"/>
        </w:rPr>
        <w:t xml:space="preserve">Wykres </w:t>
      </w:r>
      <w:r w:rsidR="00E07640" w:rsidRPr="00517EE9">
        <w:rPr>
          <w:b w:val="0"/>
          <w:color w:val="auto"/>
          <w:sz w:val="20"/>
          <w:szCs w:val="20"/>
        </w:rPr>
        <w:fldChar w:fldCharType="begin"/>
      </w:r>
      <w:r w:rsidRPr="00517EE9">
        <w:rPr>
          <w:b w:val="0"/>
          <w:color w:val="auto"/>
          <w:sz w:val="20"/>
          <w:szCs w:val="20"/>
        </w:rPr>
        <w:instrText xml:space="preserve"> SEQ Wykres \* ARABIC </w:instrText>
      </w:r>
      <w:r w:rsidR="00E07640" w:rsidRPr="00517EE9">
        <w:rPr>
          <w:b w:val="0"/>
          <w:color w:val="auto"/>
          <w:sz w:val="20"/>
          <w:szCs w:val="20"/>
        </w:rPr>
        <w:fldChar w:fldCharType="separate"/>
      </w:r>
      <w:r w:rsidR="00D540D9">
        <w:rPr>
          <w:b w:val="0"/>
          <w:noProof/>
          <w:color w:val="auto"/>
          <w:sz w:val="20"/>
          <w:szCs w:val="20"/>
        </w:rPr>
        <w:t>19</w:t>
      </w:r>
      <w:r w:rsidR="00E07640" w:rsidRPr="00517EE9">
        <w:rPr>
          <w:b w:val="0"/>
          <w:color w:val="auto"/>
          <w:sz w:val="20"/>
          <w:szCs w:val="20"/>
        </w:rPr>
        <w:fldChar w:fldCharType="end"/>
      </w:r>
      <w:r w:rsidRPr="00517EE9">
        <w:rPr>
          <w:b w:val="0"/>
          <w:color w:val="auto"/>
          <w:sz w:val="20"/>
          <w:szCs w:val="20"/>
        </w:rPr>
        <w:t>.</w:t>
      </w:r>
    </w:p>
    <w:p w:rsidR="006D630C" w:rsidRPr="00885434" w:rsidRDefault="006D630C" w:rsidP="00E1360B">
      <w:pPr>
        <w:spacing w:after="0"/>
        <w:jc w:val="center"/>
      </w:pPr>
      <w:r w:rsidRPr="00885434">
        <w:rPr>
          <w:noProof/>
        </w:rPr>
        <w:drawing>
          <wp:inline distT="0" distB="0" distL="0" distR="0">
            <wp:extent cx="3264195" cy="2317897"/>
            <wp:effectExtent l="0" t="0" r="0" b="0"/>
            <wp:docPr id="1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00129" w:rsidRPr="00517EE9" w:rsidRDefault="00400129" w:rsidP="007A3D68">
      <w:pPr>
        <w:spacing w:after="0"/>
        <w:jc w:val="both"/>
        <w:rPr>
          <w:sz w:val="20"/>
          <w:szCs w:val="20"/>
        </w:rPr>
      </w:pPr>
      <w:r w:rsidRPr="00517EE9">
        <w:rPr>
          <w:sz w:val="20"/>
          <w:szCs w:val="20"/>
        </w:rPr>
        <w:t>Źródło: opracowanie własne na podstawie danych „Sprawozdanie z wykonania budżetu Miasta i Gminy Pobiedziska za rok 2010”</w:t>
      </w:r>
    </w:p>
    <w:p w:rsidR="00400129" w:rsidRPr="00885434" w:rsidRDefault="00400129" w:rsidP="0038719E">
      <w:pPr>
        <w:spacing w:before="60" w:after="60"/>
        <w:jc w:val="both"/>
      </w:pPr>
      <w:r w:rsidRPr="00885434">
        <w:t>Ponad połowę (55%) dochodów ogółem stanowiły dochody własne, subwencje stanowiły 2</w:t>
      </w:r>
      <w:r w:rsidR="00CB5520">
        <w:t>4%, natomiast dotacje i środki</w:t>
      </w:r>
      <w:r w:rsidRPr="00885434">
        <w:t xml:space="preserve"> unijne stanowiły odpowiednio 11% i 10% dochodów ogółem.</w:t>
      </w:r>
      <w:r w:rsidR="00DF5890" w:rsidRPr="00885434">
        <w:t xml:space="preserve"> Na zadania inwestycyjne wydatkowano ponad 17,5 mln zł, wydatki na inwestycje w stosunku do wydatków ogółem stanowiły 30% wydatków budżetu gminy.</w:t>
      </w:r>
    </w:p>
    <w:p w:rsidR="005E217C" w:rsidRDefault="005E217C" w:rsidP="0038719E">
      <w:pPr>
        <w:spacing w:before="60" w:after="60"/>
        <w:jc w:val="both"/>
      </w:pPr>
      <w:r w:rsidRPr="00885434">
        <w:t>Duży udział wydatków inwestycyjnych na oświatę i wychowanie jest związany z budową kompleksu sportowo-edukacyjnego przy Zespole Szkół w Pobiedziskach, na który wydatkowano 10,2 mln zł.</w:t>
      </w:r>
    </w:p>
    <w:p w:rsidR="00FC12CC" w:rsidRDefault="00FC12CC">
      <w:r>
        <w:rPr>
          <w:b/>
          <w:bCs/>
        </w:rPr>
        <w:br w:type="page"/>
      </w:r>
    </w:p>
    <w:p w:rsidR="00DF5890" w:rsidRPr="00BE3EA2" w:rsidRDefault="00DF5890" w:rsidP="00FD778F">
      <w:pPr>
        <w:pStyle w:val="Legenda"/>
        <w:spacing w:after="0"/>
        <w:rPr>
          <w:b w:val="0"/>
          <w:color w:val="auto"/>
          <w:sz w:val="20"/>
          <w:szCs w:val="20"/>
        </w:rPr>
      </w:pPr>
      <w:r w:rsidRPr="00BE3EA2">
        <w:rPr>
          <w:b w:val="0"/>
          <w:color w:val="auto"/>
          <w:sz w:val="20"/>
          <w:szCs w:val="20"/>
        </w:rPr>
        <w:lastRenderedPageBreak/>
        <w:t xml:space="preserve">Wykres </w:t>
      </w:r>
      <w:r w:rsidR="00E07640" w:rsidRPr="00BE3EA2">
        <w:rPr>
          <w:b w:val="0"/>
          <w:color w:val="auto"/>
          <w:sz w:val="20"/>
          <w:szCs w:val="20"/>
        </w:rPr>
        <w:fldChar w:fldCharType="begin"/>
      </w:r>
      <w:r w:rsidRPr="00BE3EA2">
        <w:rPr>
          <w:b w:val="0"/>
          <w:color w:val="auto"/>
          <w:sz w:val="20"/>
          <w:szCs w:val="20"/>
        </w:rPr>
        <w:instrText xml:space="preserve"> SEQ Wykres \* ARABIC </w:instrText>
      </w:r>
      <w:r w:rsidR="00E07640" w:rsidRPr="00BE3EA2">
        <w:rPr>
          <w:b w:val="0"/>
          <w:color w:val="auto"/>
          <w:sz w:val="20"/>
          <w:szCs w:val="20"/>
        </w:rPr>
        <w:fldChar w:fldCharType="separate"/>
      </w:r>
      <w:r w:rsidR="00D540D9">
        <w:rPr>
          <w:b w:val="0"/>
          <w:noProof/>
          <w:color w:val="auto"/>
          <w:sz w:val="20"/>
          <w:szCs w:val="20"/>
        </w:rPr>
        <w:t>20</w:t>
      </w:r>
      <w:r w:rsidR="00E07640" w:rsidRPr="00BE3EA2">
        <w:rPr>
          <w:b w:val="0"/>
          <w:color w:val="auto"/>
          <w:sz w:val="20"/>
          <w:szCs w:val="20"/>
        </w:rPr>
        <w:fldChar w:fldCharType="end"/>
      </w:r>
      <w:r w:rsidRPr="00BE3EA2">
        <w:rPr>
          <w:b w:val="0"/>
          <w:color w:val="auto"/>
          <w:sz w:val="20"/>
          <w:szCs w:val="20"/>
        </w:rPr>
        <w:t>.</w:t>
      </w:r>
    </w:p>
    <w:p w:rsidR="000B37A4" w:rsidRPr="00885434" w:rsidRDefault="00DF5890" w:rsidP="00BE3EA2">
      <w:pPr>
        <w:spacing w:after="0"/>
        <w:jc w:val="center"/>
      </w:pPr>
      <w:r w:rsidRPr="00885434">
        <w:rPr>
          <w:noProof/>
        </w:rPr>
        <w:drawing>
          <wp:inline distT="0" distB="0" distL="0" distR="0">
            <wp:extent cx="5764265" cy="3817089"/>
            <wp:effectExtent l="0" t="0" r="0" b="0"/>
            <wp:docPr id="2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C5588" w:rsidRPr="00BE3EA2" w:rsidRDefault="007C5588" w:rsidP="00400129">
      <w:pPr>
        <w:jc w:val="both"/>
        <w:rPr>
          <w:sz w:val="20"/>
          <w:szCs w:val="20"/>
        </w:rPr>
      </w:pPr>
      <w:r w:rsidRPr="00BE3EA2">
        <w:rPr>
          <w:sz w:val="20"/>
          <w:szCs w:val="20"/>
        </w:rPr>
        <w:t>Źródło: opracowanie własne na podstawie danych GUS.</w:t>
      </w:r>
    </w:p>
    <w:p w:rsidR="00400129" w:rsidRDefault="001C36DF" w:rsidP="00BE3EA2">
      <w:pPr>
        <w:spacing w:before="60" w:after="60"/>
        <w:jc w:val="both"/>
      </w:pPr>
      <w:r w:rsidRPr="00885434">
        <w:t>Dochody na 1 mieszkańca w 2010 r. wyniosły w gminie Pobiedziska 2781 zł, co klasyfikuje Pobiedziska na 10 pozycji wśród 21 analizowanych gmin aglomeracji poznańskiej, natomiast wśród 10 gmin miejsko-wiejskich o porównywalnej wielkości – na trzeciej pozycji.</w:t>
      </w:r>
    </w:p>
    <w:p w:rsidR="00FC12CC" w:rsidRDefault="00FC12CC">
      <w:r>
        <w:rPr>
          <w:b/>
          <w:bCs/>
        </w:rPr>
        <w:br w:type="page"/>
      </w:r>
    </w:p>
    <w:p w:rsidR="00400129" w:rsidRPr="00BE3EA2" w:rsidRDefault="00843721" w:rsidP="00FD778F">
      <w:pPr>
        <w:pStyle w:val="Legenda"/>
        <w:spacing w:after="0"/>
        <w:rPr>
          <w:b w:val="0"/>
          <w:color w:val="auto"/>
          <w:sz w:val="20"/>
          <w:szCs w:val="20"/>
        </w:rPr>
      </w:pPr>
      <w:r w:rsidRPr="00BE3EA2">
        <w:rPr>
          <w:b w:val="0"/>
          <w:color w:val="auto"/>
          <w:sz w:val="20"/>
          <w:szCs w:val="20"/>
        </w:rPr>
        <w:lastRenderedPageBreak/>
        <w:t xml:space="preserve">Wykres </w:t>
      </w:r>
      <w:r w:rsidR="00E07640" w:rsidRPr="00BE3EA2">
        <w:rPr>
          <w:b w:val="0"/>
          <w:color w:val="auto"/>
          <w:sz w:val="20"/>
          <w:szCs w:val="20"/>
        </w:rPr>
        <w:fldChar w:fldCharType="begin"/>
      </w:r>
      <w:r w:rsidRPr="00BE3EA2">
        <w:rPr>
          <w:b w:val="0"/>
          <w:color w:val="auto"/>
          <w:sz w:val="20"/>
          <w:szCs w:val="20"/>
        </w:rPr>
        <w:instrText xml:space="preserve"> SEQ Wykres \* ARABIC </w:instrText>
      </w:r>
      <w:r w:rsidR="00E07640" w:rsidRPr="00BE3EA2">
        <w:rPr>
          <w:b w:val="0"/>
          <w:color w:val="auto"/>
          <w:sz w:val="20"/>
          <w:szCs w:val="20"/>
        </w:rPr>
        <w:fldChar w:fldCharType="separate"/>
      </w:r>
      <w:r w:rsidR="00D540D9">
        <w:rPr>
          <w:b w:val="0"/>
          <w:noProof/>
          <w:color w:val="auto"/>
          <w:sz w:val="20"/>
          <w:szCs w:val="20"/>
        </w:rPr>
        <w:t>21</w:t>
      </w:r>
      <w:r w:rsidR="00E07640" w:rsidRPr="00BE3EA2">
        <w:rPr>
          <w:b w:val="0"/>
          <w:color w:val="auto"/>
          <w:sz w:val="20"/>
          <w:szCs w:val="20"/>
        </w:rPr>
        <w:fldChar w:fldCharType="end"/>
      </w:r>
      <w:r w:rsidRPr="00BE3EA2">
        <w:rPr>
          <w:b w:val="0"/>
          <w:color w:val="auto"/>
          <w:sz w:val="20"/>
          <w:szCs w:val="20"/>
        </w:rPr>
        <w:t>.</w:t>
      </w:r>
    </w:p>
    <w:p w:rsidR="00D33B1B" w:rsidRPr="00885434" w:rsidRDefault="00D33B1B" w:rsidP="00FD778F">
      <w:pPr>
        <w:spacing w:after="0"/>
      </w:pPr>
      <w:r w:rsidRPr="00885434">
        <w:rPr>
          <w:noProof/>
        </w:rPr>
        <w:drawing>
          <wp:inline distT="0" distB="0" distL="0" distR="0">
            <wp:extent cx="3138820" cy="4040373"/>
            <wp:effectExtent l="0" t="0" r="4430" b="0"/>
            <wp:docPr id="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011E1E" w:rsidRPr="00885434">
        <w:rPr>
          <w:noProof/>
        </w:rPr>
        <w:t xml:space="preserve"> </w:t>
      </w:r>
      <w:r w:rsidR="00011E1E" w:rsidRPr="00885434">
        <w:rPr>
          <w:noProof/>
        </w:rPr>
        <w:drawing>
          <wp:inline distT="0" distB="0" distL="0" distR="0">
            <wp:extent cx="2484991" cy="4029740"/>
            <wp:effectExtent l="0" t="0" r="0" b="0"/>
            <wp:docPr id="2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33B1B" w:rsidRPr="00BE3EA2" w:rsidRDefault="00D33B1B" w:rsidP="00D33B1B">
      <w:pPr>
        <w:rPr>
          <w:sz w:val="20"/>
          <w:szCs w:val="20"/>
        </w:rPr>
      </w:pPr>
      <w:r w:rsidRPr="00BE3EA2">
        <w:rPr>
          <w:sz w:val="20"/>
          <w:szCs w:val="20"/>
        </w:rPr>
        <w:t>Źródło: opracowanie własne na podstawie danych GUS.</w:t>
      </w:r>
    </w:p>
    <w:p w:rsidR="0002324C" w:rsidRDefault="0002324C" w:rsidP="00BE3EA2">
      <w:pPr>
        <w:spacing w:before="60" w:after="60"/>
        <w:jc w:val="both"/>
      </w:pPr>
      <w:r w:rsidRPr="00885434">
        <w:t xml:space="preserve">Wydatki na 1 mieszkańca w gminie Pobiedziska w 2010 r. wyniosły 3270 zł. Wśród gmin aglomeracji poznańskiej dziewięć wykazało wyższe wydatki na 1 mieszkańca. Z kolei w przypadku analizowanych gmin miejsko-wiejskich o porównywalnej wielkości tylko w gminie Międzychód wydatki na </w:t>
      </w:r>
      <w:r w:rsidR="00661460">
        <w:br/>
      </w:r>
      <w:r w:rsidRPr="00885434">
        <w:t>1 mieszkańca były wyższe niż w gminie Pobiedziska.</w:t>
      </w:r>
    </w:p>
    <w:p w:rsidR="00940C4A" w:rsidRPr="00BC375D" w:rsidRDefault="00940C4A" w:rsidP="00212B4D">
      <w:pPr>
        <w:shd w:val="clear" w:color="auto" w:fill="FFFFFF"/>
        <w:spacing w:before="150" w:after="75"/>
        <w:jc w:val="both"/>
        <w:outlineLvl w:val="3"/>
        <w:rPr>
          <w:rFonts w:ascii="Calibri" w:hAnsi="Calibri" w:cs="Tahoma"/>
        </w:rPr>
      </w:pPr>
      <w:r w:rsidRPr="00BC375D">
        <w:rPr>
          <w:rFonts w:ascii="Calibri" w:hAnsi="Calibri" w:cs="Tahoma"/>
        </w:rPr>
        <w:t xml:space="preserve">Stopień samodzielności finansowej odzwierciedla potencjał dochodowy jednostki oraz możliwość oddziaływania organów samorządowych na wysokość dochodów własnych, w szczególności podatków i opłat lokalnych (podatków od nieruchomości, od środków transportowych, rolnego </w:t>
      </w:r>
      <w:r w:rsidR="00661460">
        <w:rPr>
          <w:rFonts w:ascii="Calibri" w:hAnsi="Calibri" w:cs="Tahoma"/>
        </w:rPr>
        <w:br/>
      </w:r>
      <w:r w:rsidRPr="00BC375D">
        <w:rPr>
          <w:rFonts w:ascii="Calibri" w:hAnsi="Calibri" w:cs="Tahoma"/>
        </w:rPr>
        <w:t xml:space="preserve">i leśnego oraz opłat – targowej, miejscowej i administracyjnej), co do których jednostka dysponuje największym władztwem podatkowym. Stopień samodzielności finansowej </w:t>
      </w:r>
      <w:r w:rsidR="00212B4D">
        <w:rPr>
          <w:rFonts w:ascii="Calibri" w:hAnsi="Calibri" w:cs="Tahoma"/>
        </w:rPr>
        <w:t>analizowanych</w:t>
      </w:r>
      <w:r w:rsidRPr="00BC375D">
        <w:rPr>
          <w:rFonts w:ascii="Calibri" w:hAnsi="Calibri" w:cs="Tahoma"/>
        </w:rPr>
        <w:t xml:space="preserve"> </w:t>
      </w:r>
      <w:r>
        <w:rPr>
          <w:rFonts w:ascii="Calibri" w:hAnsi="Calibri" w:cs="Tahoma"/>
        </w:rPr>
        <w:t xml:space="preserve">gmin </w:t>
      </w:r>
      <w:r w:rsidRPr="00BC375D">
        <w:rPr>
          <w:rFonts w:ascii="Calibri" w:hAnsi="Calibri" w:cs="Tahoma"/>
        </w:rPr>
        <w:t>określono jako średnią geometryczną czterech mierników samodzielności finansowej miasta</w:t>
      </w:r>
      <w:r w:rsidRPr="00BC375D">
        <w:rPr>
          <w:rFonts w:ascii="Calibri" w:hAnsi="Calibri" w:cs="Tahoma"/>
          <w:sz w:val="20"/>
          <w:vertAlign w:val="superscript"/>
        </w:rPr>
        <w:footnoteReference w:id="9"/>
      </w:r>
      <w:r w:rsidRPr="00BC375D">
        <w:rPr>
          <w:rFonts w:ascii="Calibri" w:hAnsi="Calibri" w:cs="Tahoma"/>
        </w:rPr>
        <w:t>. Do budowy wskaźnika wykorzystano następujące mierniki:</w:t>
      </w:r>
    </w:p>
    <w:p w:rsidR="00940C4A" w:rsidRPr="00BC375D" w:rsidRDefault="00212B4D" w:rsidP="00E84FFC">
      <w:pPr>
        <w:numPr>
          <w:ilvl w:val="0"/>
          <w:numId w:val="35"/>
        </w:numPr>
        <w:spacing w:after="0" w:line="240" w:lineRule="auto"/>
        <w:jc w:val="both"/>
        <w:rPr>
          <w:rFonts w:ascii="Calibri" w:hAnsi="Calibri"/>
        </w:rPr>
      </w:pPr>
      <w:r>
        <w:rPr>
          <w:rFonts w:ascii="Calibri" w:hAnsi="Calibri"/>
        </w:rPr>
        <w:t>d</w:t>
      </w:r>
      <w:r w:rsidR="00940C4A" w:rsidRPr="00BC375D">
        <w:rPr>
          <w:rFonts w:ascii="Calibri" w:hAnsi="Calibri"/>
        </w:rPr>
        <w:t>ochody własne w relacji do dochodów ogółem,</w:t>
      </w:r>
    </w:p>
    <w:p w:rsidR="00940C4A" w:rsidRPr="00BC375D" w:rsidRDefault="00212B4D" w:rsidP="00E84FFC">
      <w:pPr>
        <w:numPr>
          <w:ilvl w:val="0"/>
          <w:numId w:val="35"/>
        </w:numPr>
        <w:spacing w:after="0" w:line="240" w:lineRule="auto"/>
        <w:jc w:val="both"/>
        <w:rPr>
          <w:rFonts w:ascii="Calibri" w:hAnsi="Calibri"/>
        </w:rPr>
      </w:pPr>
      <w:r>
        <w:rPr>
          <w:rFonts w:ascii="Calibri" w:hAnsi="Calibri"/>
        </w:rPr>
        <w:t>d</w:t>
      </w:r>
      <w:r w:rsidR="00940C4A" w:rsidRPr="00BC375D">
        <w:rPr>
          <w:rFonts w:ascii="Calibri" w:hAnsi="Calibri"/>
        </w:rPr>
        <w:t>ochody z podatków i opłat lokalnych w relacji do dochodów ogółem,</w:t>
      </w:r>
    </w:p>
    <w:p w:rsidR="00940C4A" w:rsidRPr="00BC375D" w:rsidRDefault="00212B4D" w:rsidP="00E84FFC">
      <w:pPr>
        <w:numPr>
          <w:ilvl w:val="0"/>
          <w:numId w:val="35"/>
        </w:numPr>
        <w:spacing w:after="0" w:line="240" w:lineRule="auto"/>
        <w:jc w:val="both"/>
        <w:rPr>
          <w:rFonts w:ascii="Calibri" w:hAnsi="Calibri"/>
        </w:rPr>
      </w:pPr>
      <w:r>
        <w:rPr>
          <w:rFonts w:ascii="Calibri" w:hAnsi="Calibri"/>
        </w:rPr>
        <w:t>d</w:t>
      </w:r>
      <w:r w:rsidR="00940C4A" w:rsidRPr="00BC375D">
        <w:rPr>
          <w:rFonts w:ascii="Calibri" w:hAnsi="Calibri"/>
        </w:rPr>
        <w:t>ochody z podatków – od nieruchomości, od środków transportowych, rolnego i leśnego oraz opłat – targowej, miejscowej i administracyjnej w relacji do dochodów ogółem,</w:t>
      </w:r>
    </w:p>
    <w:p w:rsidR="00940C4A" w:rsidRDefault="00212B4D" w:rsidP="00E84FFC">
      <w:pPr>
        <w:numPr>
          <w:ilvl w:val="0"/>
          <w:numId w:val="35"/>
        </w:numPr>
        <w:spacing w:after="0" w:line="240" w:lineRule="auto"/>
        <w:jc w:val="both"/>
        <w:rPr>
          <w:rFonts w:ascii="Calibri" w:hAnsi="Calibri"/>
        </w:rPr>
      </w:pPr>
      <w:r>
        <w:rPr>
          <w:rFonts w:ascii="Calibri" w:hAnsi="Calibri"/>
        </w:rPr>
        <w:t>w</w:t>
      </w:r>
      <w:r w:rsidR="00940C4A" w:rsidRPr="00BC375D">
        <w:rPr>
          <w:rFonts w:ascii="Calibri" w:hAnsi="Calibri"/>
        </w:rPr>
        <w:t>ydatki inwestycyjne w relacji do wydatków ogółem.</w:t>
      </w:r>
    </w:p>
    <w:p w:rsidR="00FC12CC" w:rsidRDefault="00FC12CC">
      <w:pPr>
        <w:rPr>
          <w:bCs/>
          <w:sz w:val="20"/>
          <w:szCs w:val="18"/>
        </w:rPr>
      </w:pPr>
      <w:r>
        <w:rPr>
          <w:b/>
          <w:sz w:val="20"/>
        </w:rPr>
        <w:br w:type="page"/>
      </w:r>
    </w:p>
    <w:p w:rsidR="00212B4D" w:rsidRPr="00212B4D" w:rsidRDefault="00212B4D" w:rsidP="00212B4D">
      <w:pPr>
        <w:pStyle w:val="Legenda"/>
        <w:spacing w:after="0"/>
        <w:rPr>
          <w:rFonts w:ascii="Calibri" w:hAnsi="Calibri"/>
          <w:b w:val="0"/>
          <w:color w:val="auto"/>
          <w:sz w:val="24"/>
          <w:szCs w:val="22"/>
        </w:rPr>
      </w:pPr>
      <w:r w:rsidRPr="00212B4D">
        <w:rPr>
          <w:b w:val="0"/>
          <w:color w:val="auto"/>
          <w:sz w:val="20"/>
        </w:rPr>
        <w:lastRenderedPageBreak/>
        <w:t xml:space="preserve">Wykres </w:t>
      </w:r>
      <w:r w:rsidR="00E07640" w:rsidRPr="00212B4D">
        <w:rPr>
          <w:b w:val="0"/>
          <w:color w:val="auto"/>
          <w:sz w:val="20"/>
        </w:rPr>
        <w:fldChar w:fldCharType="begin"/>
      </w:r>
      <w:r w:rsidRPr="00212B4D">
        <w:rPr>
          <w:b w:val="0"/>
          <w:color w:val="auto"/>
          <w:sz w:val="20"/>
        </w:rPr>
        <w:instrText xml:space="preserve"> SEQ Wykres \* ARABIC </w:instrText>
      </w:r>
      <w:r w:rsidR="00E07640" w:rsidRPr="00212B4D">
        <w:rPr>
          <w:b w:val="0"/>
          <w:color w:val="auto"/>
          <w:sz w:val="20"/>
        </w:rPr>
        <w:fldChar w:fldCharType="separate"/>
      </w:r>
      <w:r w:rsidR="00D540D9">
        <w:rPr>
          <w:b w:val="0"/>
          <w:noProof/>
          <w:color w:val="auto"/>
          <w:sz w:val="20"/>
        </w:rPr>
        <w:t>22</w:t>
      </w:r>
      <w:r w:rsidR="00E07640" w:rsidRPr="00212B4D">
        <w:rPr>
          <w:b w:val="0"/>
          <w:color w:val="auto"/>
          <w:sz w:val="20"/>
        </w:rPr>
        <w:fldChar w:fldCharType="end"/>
      </w:r>
      <w:r w:rsidRPr="00212B4D">
        <w:rPr>
          <w:b w:val="0"/>
          <w:color w:val="auto"/>
          <w:sz w:val="20"/>
        </w:rPr>
        <w:t>.</w:t>
      </w:r>
    </w:p>
    <w:p w:rsidR="004914E8" w:rsidRDefault="004914E8" w:rsidP="00212B4D">
      <w:pPr>
        <w:shd w:val="clear" w:color="auto" w:fill="FFFFFF"/>
        <w:spacing w:after="0"/>
        <w:jc w:val="both"/>
        <w:outlineLvl w:val="3"/>
        <w:rPr>
          <w:rFonts w:ascii="Calibri" w:hAnsi="Calibri" w:cs="Tahoma"/>
        </w:rPr>
      </w:pPr>
      <w:r w:rsidRPr="004914E8">
        <w:rPr>
          <w:rFonts w:ascii="Calibri" w:hAnsi="Calibri" w:cs="Tahoma"/>
          <w:noProof/>
        </w:rPr>
        <w:drawing>
          <wp:inline distT="0" distB="0" distL="0" distR="0">
            <wp:extent cx="3021862" cy="5411973"/>
            <wp:effectExtent l="0" t="0" r="0" b="0"/>
            <wp:docPr id="3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Calibri" w:hAnsi="Calibri" w:cs="Tahoma"/>
        </w:rPr>
        <w:t xml:space="preserve"> </w:t>
      </w:r>
      <w:r w:rsidRPr="004914E8">
        <w:rPr>
          <w:rFonts w:ascii="Calibri" w:hAnsi="Calibri" w:cs="Tahoma"/>
          <w:noProof/>
        </w:rPr>
        <w:drawing>
          <wp:inline distT="0" distB="0" distL="0" distR="0">
            <wp:extent cx="2394541" cy="5411973"/>
            <wp:effectExtent l="0" t="0" r="0" b="0"/>
            <wp:docPr id="4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12B4D" w:rsidRPr="00BE3EA2" w:rsidRDefault="00212B4D" w:rsidP="001C1356">
      <w:pPr>
        <w:spacing w:after="0"/>
        <w:rPr>
          <w:sz w:val="20"/>
          <w:szCs w:val="20"/>
        </w:rPr>
      </w:pPr>
      <w:r w:rsidRPr="00BE3EA2">
        <w:rPr>
          <w:sz w:val="20"/>
          <w:szCs w:val="20"/>
        </w:rPr>
        <w:t>Źródło: opracowanie własne na podstawie danych GUS.</w:t>
      </w:r>
    </w:p>
    <w:p w:rsidR="00940C4A" w:rsidRPr="001C1356" w:rsidRDefault="002E655C" w:rsidP="001C1356">
      <w:pPr>
        <w:shd w:val="clear" w:color="auto" w:fill="FFFFFF"/>
        <w:spacing w:before="150" w:after="0"/>
        <w:jc w:val="both"/>
        <w:outlineLvl w:val="3"/>
        <w:rPr>
          <w:rFonts w:ascii="Calibri" w:hAnsi="Calibri" w:cs="Tahoma"/>
        </w:rPr>
      </w:pPr>
      <w:r>
        <w:rPr>
          <w:rFonts w:ascii="Calibri" w:hAnsi="Calibri" w:cs="Tahoma"/>
        </w:rPr>
        <w:t>Gminy</w:t>
      </w:r>
      <w:r w:rsidR="00940C4A" w:rsidRPr="00BC375D">
        <w:rPr>
          <w:rFonts w:ascii="Calibri" w:hAnsi="Calibri" w:cs="Tahoma"/>
        </w:rPr>
        <w:t xml:space="preserve"> o wysokim stopniu samodzielności finansowej, a więc o korzystnym potencjale dochodowym, to </w:t>
      </w:r>
      <w:r>
        <w:rPr>
          <w:rFonts w:ascii="Calibri" w:hAnsi="Calibri" w:cs="Tahoma"/>
        </w:rPr>
        <w:t>gminy</w:t>
      </w:r>
      <w:r w:rsidR="00940C4A" w:rsidRPr="00BC375D">
        <w:rPr>
          <w:rFonts w:ascii="Calibri" w:hAnsi="Calibri" w:cs="Tahoma"/>
        </w:rPr>
        <w:t xml:space="preserve"> dysponujące relatywnie wysokimi dochodami własnymi, które istotnie wpływają na jakość świadczonych przez </w:t>
      </w:r>
      <w:r>
        <w:rPr>
          <w:rFonts w:ascii="Calibri" w:hAnsi="Calibri" w:cs="Tahoma"/>
        </w:rPr>
        <w:t>gminy</w:t>
      </w:r>
      <w:r w:rsidR="00940C4A" w:rsidRPr="00BC375D">
        <w:rPr>
          <w:rFonts w:ascii="Calibri" w:hAnsi="Calibri" w:cs="Tahoma"/>
        </w:rPr>
        <w:t xml:space="preserve"> usług i wykonywanych zadań ustawowych oraz jednocześnie mają wpływ na rozmiar wydatków inwestycyjnych </w:t>
      </w:r>
      <w:r>
        <w:rPr>
          <w:rFonts w:ascii="Calibri" w:hAnsi="Calibri" w:cs="Tahoma"/>
        </w:rPr>
        <w:t>gmin</w:t>
      </w:r>
      <w:r w:rsidR="00940C4A" w:rsidRPr="00BC375D">
        <w:rPr>
          <w:rFonts w:ascii="Calibri" w:hAnsi="Calibri" w:cs="Tahoma"/>
        </w:rPr>
        <w:t>. Jednostki z silnym potencjałem dochodowym powinny więc być obiektem szczególnego zainteresowania potencjalnych inwestorów.</w:t>
      </w:r>
    </w:p>
    <w:p w:rsidR="002601A5" w:rsidRDefault="00535843">
      <w:r>
        <w:pict>
          <v:shape id="_x0000_s1042" type="#_x0000_t185" style="width:122.6pt;height:449.9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42;mso-fit-shape-to-text:t" inset="18pt,18pt,,18pt">
              <w:txbxContent>
                <w:p w:rsidR="00291CA0" w:rsidRPr="00BE3EA2" w:rsidRDefault="00291CA0" w:rsidP="00BE3EA2">
                  <w:pPr>
                    <w:spacing w:before="120" w:after="120"/>
                    <w:jc w:val="both"/>
                    <w:rPr>
                      <w:b/>
                      <w:i/>
                      <w:iCs/>
                      <w:color w:val="943634" w:themeColor="accent2" w:themeShade="BF"/>
                    </w:rPr>
                  </w:pPr>
                  <w:r w:rsidRPr="00BE3EA2">
                    <w:rPr>
                      <w:b/>
                      <w:i/>
                      <w:iCs/>
                      <w:color w:val="943634" w:themeColor="accent2" w:themeShade="BF"/>
                    </w:rPr>
                    <w:t>KONKLUZJE STRATEGICZNE</w:t>
                  </w:r>
                </w:p>
                <w:p w:rsidR="00291CA0" w:rsidRPr="00BE3EA2" w:rsidRDefault="00291CA0" w:rsidP="004A5B80">
                  <w:pPr>
                    <w:spacing w:before="60" w:after="60"/>
                    <w:jc w:val="both"/>
                    <w:rPr>
                      <w:b/>
                      <w:i/>
                      <w:iCs/>
                      <w:color w:val="808080" w:themeColor="background1" w:themeShade="80"/>
                    </w:rPr>
                  </w:pPr>
                  <w:r w:rsidRPr="00BE3EA2">
                    <w:rPr>
                      <w:b/>
                      <w:i/>
                      <w:iCs/>
                      <w:color w:val="808080" w:themeColor="background1" w:themeShade="80"/>
                    </w:rPr>
                    <w:t>Saldo dochodów i wydatków Gminy Pobiedziska w latach 2002-2008 ulegało wahaniom, największy deficyt w 2005 r. przekraczał nieznacznie 2,4 mln zł. Natomiast w latach 2009-2010 deficyt znacznie się zwiększył. Wpływ na wielkość deficytu miał znaczny wzrost wydatków inwestycyjnych.</w:t>
                  </w:r>
                </w:p>
              </w:txbxContent>
            </v:textbox>
            <w10:wrap type="none" anchorx="margin" anchory="margin"/>
            <w10:anchorlock/>
          </v:shape>
        </w:pict>
      </w:r>
    </w:p>
    <w:p w:rsidR="009A7ABC" w:rsidRPr="00885434" w:rsidRDefault="00927DA9" w:rsidP="00927DA9">
      <w:pPr>
        <w:pStyle w:val="Nagwek2"/>
        <w:ind w:left="360"/>
        <w:rPr>
          <w:rFonts w:asciiTheme="minorHAnsi" w:hAnsiTheme="minorHAnsi"/>
          <w:color w:val="943634" w:themeColor="accent2" w:themeShade="BF"/>
        </w:rPr>
      </w:pPr>
      <w:bookmarkStart w:id="17" w:name="_Toc321135334"/>
      <w:r w:rsidRPr="00885434">
        <w:rPr>
          <w:rFonts w:asciiTheme="minorHAnsi" w:hAnsiTheme="minorHAnsi"/>
          <w:color w:val="943634" w:themeColor="accent2" w:themeShade="BF"/>
        </w:rPr>
        <w:lastRenderedPageBreak/>
        <w:t xml:space="preserve">5.7 </w:t>
      </w:r>
      <w:r w:rsidR="009A7ABC" w:rsidRPr="00885434">
        <w:rPr>
          <w:rFonts w:asciiTheme="minorHAnsi" w:hAnsiTheme="minorHAnsi"/>
          <w:color w:val="943634" w:themeColor="accent2" w:themeShade="BF"/>
        </w:rPr>
        <w:t>Podmioty gospodarcze</w:t>
      </w:r>
      <w:bookmarkEnd w:id="17"/>
    </w:p>
    <w:p w:rsidR="00AE3A7B" w:rsidRPr="00480BF3" w:rsidRDefault="00A3534A" w:rsidP="00AE3A7B">
      <w:pPr>
        <w:spacing w:before="120"/>
        <w:jc w:val="both"/>
        <w:rPr>
          <w:rFonts w:ascii="Calibri" w:hAnsi="Calibri" w:cs="Calibri"/>
        </w:rPr>
      </w:pPr>
      <w:r w:rsidRPr="00A3534A">
        <w:rPr>
          <w:rFonts w:ascii="Calibri" w:hAnsi="Calibri" w:cs="Calibri"/>
        </w:rPr>
        <w:t>Gospodarkę gminy Pobiedziska</w:t>
      </w:r>
      <w:r w:rsidR="00AE3A7B" w:rsidRPr="00A3534A">
        <w:rPr>
          <w:rFonts w:ascii="Calibri" w:hAnsi="Calibri" w:cs="Calibri"/>
        </w:rPr>
        <w:t xml:space="preserve"> cechuje zróżnicowanie branżowe z wyraźną dominacją sektora usługow</w:t>
      </w:r>
      <w:r w:rsidRPr="00A3534A">
        <w:rPr>
          <w:rFonts w:ascii="Calibri" w:hAnsi="Calibri" w:cs="Calibri"/>
        </w:rPr>
        <w:t>ego</w:t>
      </w:r>
      <w:r w:rsidR="00AE3A7B" w:rsidRPr="00A3534A">
        <w:rPr>
          <w:rFonts w:ascii="Calibri" w:hAnsi="Calibri" w:cs="Calibri"/>
        </w:rPr>
        <w:t>. Istotną rolę w mieście odgrywa również bud</w:t>
      </w:r>
      <w:r w:rsidRPr="00A3534A">
        <w:rPr>
          <w:rFonts w:ascii="Calibri" w:hAnsi="Calibri" w:cs="Calibri"/>
        </w:rPr>
        <w:t>ownictwo oraz przemysł</w:t>
      </w:r>
      <w:r w:rsidR="00AE3A7B" w:rsidRPr="00A3534A">
        <w:rPr>
          <w:rFonts w:ascii="Calibri" w:hAnsi="Calibri" w:cs="Calibri"/>
        </w:rPr>
        <w:t>.</w:t>
      </w:r>
    </w:p>
    <w:p w:rsidR="00AE3A7B" w:rsidRPr="00744EFB" w:rsidRDefault="00AE3A7B" w:rsidP="00D454CD">
      <w:pPr>
        <w:spacing w:before="120" w:after="0"/>
        <w:jc w:val="both"/>
        <w:rPr>
          <w:rFonts w:ascii="Calibri" w:hAnsi="Calibri" w:cs="Calibri"/>
          <w:b/>
          <w:i/>
          <w:color w:val="943634" w:themeColor="accent2" w:themeShade="BF"/>
        </w:rPr>
      </w:pPr>
      <w:r w:rsidRPr="00744EFB">
        <w:rPr>
          <w:rFonts w:ascii="Calibri" w:hAnsi="Calibri" w:cs="Calibri"/>
          <w:b/>
          <w:i/>
          <w:color w:val="943634" w:themeColor="accent2" w:themeShade="BF"/>
        </w:rPr>
        <w:t>Aktywność gospodarcza</w:t>
      </w:r>
    </w:p>
    <w:p w:rsidR="00AE3A7B" w:rsidRPr="00A3425B" w:rsidRDefault="00AE3A7B" w:rsidP="00D454CD">
      <w:pPr>
        <w:spacing w:after="0"/>
        <w:jc w:val="both"/>
        <w:rPr>
          <w:rFonts w:ascii="Calibri" w:hAnsi="Calibri" w:cs="Calibri"/>
        </w:rPr>
      </w:pPr>
      <w:r>
        <w:rPr>
          <w:rFonts w:ascii="Calibri" w:hAnsi="Calibri" w:cs="Calibri"/>
        </w:rPr>
        <w:t xml:space="preserve">Na koniec 2010 r. w </w:t>
      </w:r>
      <w:r w:rsidR="00744EFB">
        <w:rPr>
          <w:rFonts w:ascii="Calibri" w:hAnsi="Calibri" w:cs="Calibri"/>
        </w:rPr>
        <w:t>gminie Pobiedziska</w:t>
      </w:r>
      <w:r>
        <w:rPr>
          <w:rFonts w:ascii="Calibri" w:hAnsi="Calibri" w:cs="Calibri"/>
        </w:rPr>
        <w:t xml:space="preserve"> zarejestrowanych było w systemie REGON </w:t>
      </w:r>
      <w:r w:rsidR="000F6426">
        <w:rPr>
          <w:rFonts w:ascii="Calibri" w:hAnsi="Calibri" w:cs="Calibri"/>
        </w:rPr>
        <w:t>ponad</w:t>
      </w:r>
      <w:r>
        <w:rPr>
          <w:rFonts w:ascii="Calibri" w:hAnsi="Calibri" w:cs="Calibri"/>
        </w:rPr>
        <w:t xml:space="preserve"> </w:t>
      </w:r>
      <w:r w:rsidR="00744EFB">
        <w:rPr>
          <w:rFonts w:ascii="Calibri" w:hAnsi="Calibri" w:cs="Calibri"/>
        </w:rPr>
        <w:t>2,2</w:t>
      </w:r>
      <w:r>
        <w:rPr>
          <w:rFonts w:ascii="Calibri" w:hAnsi="Calibri" w:cs="Calibri"/>
        </w:rPr>
        <w:t xml:space="preserve"> tys. podmiotów gospodarki narodowej, tj. </w:t>
      </w:r>
      <w:r w:rsidR="00744EFB">
        <w:rPr>
          <w:rFonts w:ascii="Calibri" w:hAnsi="Calibri" w:cs="Calibri"/>
        </w:rPr>
        <w:t>blisko 5</w:t>
      </w:r>
      <w:r>
        <w:rPr>
          <w:rFonts w:ascii="Calibri" w:hAnsi="Calibri" w:cs="Calibri"/>
        </w:rPr>
        <w:t xml:space="preserve">% wszystkich podmiotów w powiecie </w:t>
      </w:r>
      <w:r w:rsidR="00744EFB">
        <w:rPr>
          <w:rFonts w:ascii="Calibri" w:hAnsi="Calibri" w:cs="Calibri"/>
        </w:rPr>
        <w:t>poznańskim</w:t>
      </w:r>
      <w:r>
        <w:rPr>
          <w:rFonts w:ascii="Calibri" w:hAnsi="Calibri" w:cs="Calibri"/>
        </w:rPr>
        <w:t>.</w:t>
      </w:r>
      <w:r w:rsidRPr="00C90BA0">
        <w:rPr>
          <w:rFonts w:ascii="Calibri" w:hAnsi="Calibri" w:cs="Calibri"/>
        </w:rPr>
        <w:t xml:space="preserve"> </w:t>
      </w:r>
      <w:r w:rsidR="00744EFB">
        <w:rPr>
          <w:rFonts w:ascii="Calibri" w:hAnsi="Calibri" w:cs="Calibri"/>
        </w:rPr>
        <w:t>Ponad 98</w:t>
      </w:r>
      <w:r w:rsidRPr="00E21579">
        <w:rPr>
          <w:rFonts w:ascii="Calibri" w:hAnsi="Calibri" w:cs="Calibri"/>
        </w:rPr>
        <w:t>%</w:t>
      </w:r>
      <w:r>
        <w:rPr>
          <w:rFonts w:ascii="Calibri" w:hAnsi="Calibri" w:cs="Calibri"/>
        </w:rPr>
        <w:t xml:space="preserve"> należało do sektora prywatnego. </w:t>
      </w:r>
      <w:r w:rsidRPr="007677C0">
        <w:rPr>
          <w:rFonts w:ascii="Calibri" w:hAnsi="Calibri" w:cs="Calibri"/>
        </w:rPr>
        <w:t xml:space="preserve">W </w:t>
      </w:r>
      <w:r w:rsidR="00A3425B">
        <w:rPr>
          <w:rFonts w:ascii="Calibri" w:hAnsi="Calibri" w:cs="Calibri"/>
        </w:rPr>
        <w:t>Pobiedziskach</w:t>
      </w:r>
      <w:r w:rsidRPr="007677C0">
        <w:rPr>
          <w:rFonts w:ascii="Calibri" w:hAnsi="Calibri" w:cs="Calibri"/>
        </w:rPr>
        <w:t xml:space="preserve"> występuje stosunkowo </w:t>
      </w:r>
      <w:r w:rsidR="00A3425B">
        <w:rPr>
          <w:rFonts w:ascii="Calibri" w:hAnsi="Calibri" w:cs="Calibri"/>
        </w:rPr>
        <w:t>wyso</w:t>
      </w:r>
      <w:r w:rsidRPr="007677C0">
        <w:rPr>
          <w:rFonts w:ascii="Calibri" w:hAnsi="Calibri" w:cs="Calibri"/>
        </w:rPr>
        <w:t>ka koncentracja podmiotów gospodarki narodowej. W 2010 r. na 1 km</w:t>
      </w:r>
      <w:r w:rsidRPr="007677C0">
        <w:rPr>
          <w:rFonts w:ascii="Calibri" w:hAnsi="Calibri" w:cs="Calibri"/>
          <w:vertAlign w:val="superscript"/>
        </w:rPr>
        <w:t>2</w:t>
      </w:r>
      <w:r w:rsidR="00A3425B">
        <w:rPr>
          <w:rFonts w:ascii="Calibri" w:hAnsi="Calibri" w:cs="Calibri"/>
        </w:rPr>
        <w:t xml:space="preserve"> przypadało 12</w:t>
      </w:r>
      <w:r w:rsidRPr="007677C0">
        <w:rPr>
          <w:rFonts w:ascii="Calibri" w:hAnsi="Calibri" w:cs="Calibri"/>
        </w:rPr>
        <w:t xml:space="preserve"> jednostek</w:t>
      </w:r>
      <w:r w:rsidR="00A3425B">
        <w:rPr>
          <w:rFonts w:ascii="Calibri" w:hAnsi="Calibri" w:cs="Calibri"/>
        </w:rPr>
        <w:t xml:space="preserve">, co plasuje gminę na dwudziestym miejscu wśród </w:t>
      </w:r>
      <w:r w:rsidR="003D128A">
        <w:rPr>
          <w:rFonts w:ascii="Calibri" w:hAnsi="Calibri" w:cs="Calibri"/>
        </w:rPr>
        <w:t>wszystkich</w:t>
      </w:r>
      <w:r w:rsidR="00A3425B">
        <w:rPr>
          <w:rFonts w:ascii="Calibri" w:hAnsi="Calibri" w:cs="Calibri"/>
        </w:rPr>
        <w:t xml:space="preserve"> gmin</w:t>
      </w:r>
      <w:r w:rsidR="003D128A">
        <w:rPr>
          <w:rFonts w:ascii="Calibri" w:hAnsi="Calibri" w:cs="Calibri"/>
        </w:rPr>
        <w:t xml:space="preserve"> w Wielkopolsce</w:t>
      </w:r>
      <w:r w:rsidRPr="007677C0">
        <w:rPr>
          <w:rFonts w:ascii="Calibri" w:hAnsi="Calibri" w:cs="Calibri"/>
        </w:rPr>
        <w:t>.</w:t>
      </w:r>
    </w:p>
    <w:p w:rsidR="00AE3A7B" w:rsidRPr="00D454CD" w:rsidRDefault="00AE3A7B" w:rsidP="00A3425B">
      <w:pPr>
        <w:pStyle w:val="Legenda"/>
        <w:spacing w:after="0" w:line="276" w:lineRule="auto"/>
        <w:rPr>
          <w:rFonts w:cstheme="minorHAnsi"/>
          <w:b w:val="0"/>
          <w:color w:val="auto"/>
          <w:sz w:val="22"/>
        </w:rPr>
      </w:pPr>
      <w:r w:rsidRPr="00A3425B">
        <w:rPr>
          <w:rFonts w:cstheme="minorHAnsi"/>
          <w:b w:val="0"/>
          <w:color w:val="auto"/>
          <w:sz w:val="20"/>
          <w:szCs w:val="20"/>
        </w:rPr>
        <w:t xml:space="preserve">Wykres </w:t>
      </w:r>
      <w:r w:rsidR="00E07640" w:rsidRPr="00A3425B">
        <w:rPr>
          <w:rFonts w:cstheme="minorHAnsi"/>
          <w:b w:val="0"/>
          <w:color w:val="auto"/>
          <w:sz w:val="20"/>
          <w:szCs w:val="20"/>
        </w:rPr>
        <w:fldChar w:fldCharType="begin"/>
      </w:r>
      <w:r w:rsidRPr="00A3425B">
        <w:rPr>
          <w:rFonts w:cstheme="minorHAnsi"/>
          <w:b w:val="0"/>
          <w:color w:val="auto"/>
          <w:sz w:val="20"/>
          <w:szCs w:val="20"/>
        </w:rPr>
        <w:instrText xml:space="preserve"> SEQ Wykres \* ARABIC </w:instrText>
      </w:r>
      <w:r w:rsidR="00E07640" w:rsidRPr="00A3425B">
        <w:rPr>
          <w:rFonts w:cstheme="minorHAnsi"/>
          <w:b w:val="0"/>
          <w:color w:val="auto"/>
          <w:sz w:val="20"/>
          <w:szCs w:val="20"/>
        </w:rPr>
        <w:fldChar w:fldCharType="separate"/>
      </w:r>
      <w:r w:rsidR="00D540D9">
        <w:rPr>
          <w:rFonts w:cstheme="minorHAnsi"/>
          <w:b w:val="0"/>
          <w:noProof/>
          <w:color w:val="auto"/>
          <w:sz w:val="20"/>
          <w:szCs w:val="20"/>
        </w:rPr>
        <w:t>23</w:t>
      </w:r>
      <w:r w:rsidR="00E07640" w:rsidRPr="00A3425B">
        <w:rPr>
          <w:rFonts w:cstheme="minorHAnsi"/>
          <w:b w:val="0"/>
          <w:color w:val="auto"/>
          <w:sz w:val="20"/>
          <w:szCs w:val="20"/>
        </w:rPr>
        <w:fldChar w:fldCharType="end"/>
      </w:r>
      <w:r w:rsidRPr="00EB7F46">
        <w:rPr>
          <w:rFonts w:cstheme="minorHAnsi"/>
          <w:b w:val="0"/>
        </w:rPr>
        <w:t>.</w:t>
      </w:r>
    </w:p>
    <w:p w:rsidR="00A3425B" w:rsidRDefault="00A3425B" w:rsidP="00A3425B">
      <w:pPr>
        <w:tabs>
          <w:tab w:val="left" w:pos="1276"/>
        </w:tabs>
        <w:spacing w:after="0"/>
        <w:jc w:val="center"/>
        <w:rPr>
          <w:rFonts w:ascii="Calibri" w:hAnsi="Calibri" w:cs="Calibri"/>
          <w:sz w:val="20"/>
          <w:szCs w:val="20"/>
        </w:rPr>
      </w:pPr>
      <w:r w:rsidRPr="00A3425B">
        <w:rPr>
          <w:rFonts w:ascii="Calibri" w:hAnsi="Calibri" w:cs="Calibri"/>
          <w:noProof/>
          <w:sz w:val="20"/>
          <w:szCs w:val="20"/>
        </w:rPr>
        <w:drawing>
          <wp:inline distT="0" distB="0" distL="0" distR="0">
            <wp:extent cx="4167962" cy="2319999"/>
            <wp:effectExtent l="0" t="0" r="0" b="0"/>
            <wp:docPr id="55" name="Wykres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E3A7B" w:rsidRDefault="00AE3A7B" w:rsidP="00A3425B">
      <w:pPr>
        <w:tabs>
          <w:tab w:val="left" w:pos="1276"/>
        </w:tabs>
        <w:spacing w:after="0"/>
        <w:rPr>
          <w:rFonts w:ascii="Tahoma" w:hAnsi="Tahoma" w:cs="Tahoma"/>
          <w:b/>
          <w:color w:val="002867"/>
          <w:sz w:val="20"/>
          <w:szCs w:val="20"/>
        </w:rPr>
      </w:pPr>
      <w:r w:rsidRPr="0080695F">
        <w:rPr>
          <w:rFonts w:ascii="Calibri" w:hAnsi="Calibri" w:cs="Calibri"/>
          <w:sz w:val="20"/>
          <w:szCs w:val="20"/>
        </w:rPr>
        <w:t>Źródło: opracowanie własne na podstawie danych GUS.</w:t>
      </w:r>
    </w:p>
    <w:p w:rsidR="00AE3A7B" w:rsidRDefault="00AE3A7B" w:rsidP="00A3425B">
      <w:pPr>
        <w:tabs>
          <w:tab w:val="left" w:pos="5529"/>
        </w:tabs>
        <w:spacing w:before="60" w:after="60"/>
        <w:jc w:val="both"/>
        <w:rPr>
          <w:rFonts w:ascii="Calibri" w:hAnsi="Calibri" w:cs="Calibri"/>
        </w:rPr>
      </w:pPr>
      <w:r w:rsidRPr="00E05A69">
        <w:rPr>
          <w:rFonts w:ascii="Calibri" w:hAnsi="Calibri" w:cs="Calibri"/>
        </w:rPr>
        <w:t xml:space="preserve">O </w:t>
      </w:r>
      <w:r w:rsidR="00A3425B">
        <w:rPr>
          <w:rFonts w:ascii="Calibri" w:hAnsi="Calibri" w:cs="Calibri"/>
        </w:rPr>
        <w:t>wy</w:t>
      </w:r>
      <w:r w:rsidRPr="00E05A69">
        <w:rPr>
          <w:rFonts w:ascii="Calibri" w:hAnsi="Calibri" w:cs="Calibri"/>
        </w:rPr>
        <w:t>s</w:t>
      </w:r>
      <w:r w:rsidR="00A3425B">
        <w:rPr>
          <w:rFonts w:ascii="Calibri" w:hAnsi="Calibri" w:cs="Calibri"/>
        </w:rPr>
        <w:t>o</w:t>
      </w:r>
      <w:r w:rsidRPr="00E05A69">
        <w:rPr>
          <w:rFonts w:ascii="Calibri" w:hAnsi="Calibri" w:cs="Calibri"/>
        </w:rPr>
        <w:t>kim poz</w:t>
      </w:r>
      <w:r w:rsidR="00A3425B">
        <w:rPr>
          <w:rFonts w:ascii="Calibri" w:hAnsi="Calibri" w:cs="Calibri"/>
        </w:rPr>
        <w:t>iomie przedsiębiorczości w gmin</w:t>
      </w:r>
      <w:r w:rsidRPr="00E05A69">
        <w:rPr>
          <w:rFonts w:ascii="Calibri" w:hAnsi="Calibri" w:cs="Calibri"/>
        </w:rPr>
        <w:t xml:space="preserve">ie świadczy liczba podmiotów przypadająca na 10 tys. mieszkańców. W 2010 r. w </w:t>
      </w:r>
      <w:r w:rsidR="00A3425B">
        <w:rPr>
          <w:rFonts w:ascii="Calibri" w:hAnsi="Calibri" w:cs="Calibri"/>
        </w:rPr>
        <w:t>Pobiedziskach</w:t>
      </w:r>
      <w:r w:rsidRPr="00E05A69">
        <w:rPr>
          <w:rFonts w:ascii="Calibri" w:hAnsi="Calibri" w:cs="Calibri"/>
        </w:rPr>
        <w:t xml:space="preserve"> wskaźnik wyniósł </w:t>
      </w:r>
      <w:r w:rsidR="00A3425B">
        <w:rPr>
          <w:rFonts w:ascii="Calibri" w:hAnsi="Calibri" w:cs="Calibri"/>
        </w:rPr>
        <w:t>1262, co</w:t>
      </w:r>
      <w:r w:rsidR="00A3425B" w:rsidRPr="00A3425B">
        <w:t xml:space="preserve"> </w:t>
      </w:r>
      <w:r w:rsidR="00A3425B">
        <w:t>oznacza, że statystycznie co ósmy mieszkaniec gminy prowadzi własną działalność gospodarczą. Wysokość wskaźnika</w:t>
      </w:r>
      <w:r w:rsidRPr="00E05A69">
        <w:rPr>
          <w:rFonts w:ascii="Calibri" w:hAnsi="Calibri" w:cs="Calibri"/>
        </w:rPr>
        <w:t xml:space="preserve"> </w:t>
      </w:r>
      <w:r w:rsidR="00A3425B">
        <w:rPr>
          <w:rFonts w:ascii="Calibri" w:hAnsi="Calibri" w:cs="Calibri"/>
        </w:rPr>
        <w:t>zapewniła</w:t>
      </w:r>
      <w:r w:rsidRPr="00E05A69">
        <w:rPr>
          <w:rFonts w:ascii="Calibri" w:hAnsi="Calibri" w:cs="Calibri"/>
        </w:rPr>
        <w:t xml:space="preserve"> </w:t>
      </w:r>
      <w:r w:rsidR="00A3425B">
        <w:rPr>
          <w:rFonts w:ascii="Calibri" w:hAnsi="Calibri" w:cs="Calibri"/>
        </w:rPr>
        <w:t>gminie</w:t>
      </w:r>
      <w:r w:rsidRPr="00E05A69">
        <w:rPr>
          <w:rFonts w:ascii="Calibri" w:hAnsi="Calibri" w:cs="Calibri"/>
        </w:rPr>
        <w:t xml:space="preserve"> </w:t>
      </w:r>
      <w:r w:rsidR="00A3425B">
        <w:rPr>
          <w:rFonts w:ascii="Calibri" w:hAnsi="Calibri" w:cs="Calibri"/>
        </w:rPr>
        <w:t>6 miejsce wśród wielkopolskich gmin</w:t>
      </w:r>
      <w:r w:rsidRPr="00E05A69">
        <w:rPr>
          <w:rFonts w:ascii="Calibri" w:hAnsi="Calibri" w:cs="Calibri"/>
        </w:rPr>
        <w:t xml:space="preserve">. </w:t>
      </w:r>
      <w:r w:rsidR="00C43F71">
        <w:rPr>
          <w:rFonts w:ascii="Calibri" w:hAnsi="Calibri" w:cs="Calibri"/>
        </w:rPr>
        <w:t xml:space="preserve">Wskaźnik był również </w:t>
      </w:r>
      <w:r w:rsidR="00300859">
        <w:rPr>
          <w:rFonts w:ascii="Calibri" w:hAnsi="Calibri" w:cs="Calibri"/>
        </w:rPr>
        <w:t xml:space="preserve">zdecydowanie </w:t>
      </w:r>
      <w:r w:rsidR="00C43F71">
        <w:rPr>
          <w:rFonts w:ascii="Calibri" w:hAnsi="Calibri" w:cs="Calibri"/>
        </w:rPr>
        <w:t>wy</w:t>
      </w:r>
      <w:r>
        <w:rPr>
          <w:rFonts w:ascii="Calibri" w:hAnsi="Calibri" w:cs="Calibri"/>
        </w:rPr>
        <w:t>ższy od wskaźnika dla Polski oraz województwa wielkopolskiego</w:t>
      </w:r>
      <w:r w:rsidR="00C43F71">
        <w:rPr>
          <w:rFonts w:ascii="Calibri" w:hAnsi="Calibri" w:cs="Calibri"/>
        </w:rPr>
        <w:t>, natomiast niższy niż dla powiatu poznańskiego</w:t>
      </w:r>
      <w:r>
        <w:rPr>
          <w:rFonts w:ascii="Calibri" w:hAnsi="Calibri" w:cs="Calibri"/>
        </w:rPr>
        <w:t>.</w:t>
      </w:r>
      <w:r w:rsidR="00ED1B7D">
        <w:rPr>
          <w:rFonts w:ascii="Calibri" w:hAnsi="Calibri" w:cs="Calibri"/>
        </w:rPr>
        <w:t xml:space="preserve"> </w:t>
      </w:r>
      <w:r w:rsidR="00C73C66">
        <w:rPr>
          <w:rFonts w:ascii="Calibri" w:hAnsi="Calibri" w:cs="Calibri"/>
        </w:rPr>
        <w:t xml:space="preserve">Na tle gmin aglomeracji poznańskiej gmina Pobiedziska znalazła się wśród gmin </w:t>
      </w:r>
      <w:r w:rsidR="00E86CC8">
        <w:rPr>
          <w:rFonts w:ascii="Calibri" w:hAnsi="Calibri" w:cs="Calibri"/>
        </w:rPr>
        <w:br/>
      </w:r>
      <w:r w:rsidR="00C73C66">
        <w:rPr>
          <w:rFonts w:ascii="Calibri" w:hAnsi="Calibri" w:cs="Calibri"/>
        </w:rPr>
        <w:t>o średniej liczbie podmiotów gospodarczych na 10 tys. mieszkańców. Najwyższy poziom wskaźnika odnotowano w gminie Suchy Las, Ta</w:t>
      </w:r>
      <w:r w:rsidR="00315AE0">
        <w:rPr>
          <w:rFonts w:ascii="Calibri" w:hAnsi="Calibri" w:cs="Calibri"/>
        </w:rPr>
        <w:t>rnowo Podgórne oraz Puszczykowo</w:t>
      </w:r>
      <w:r w:rsidR="00C73C66">
        <w:rPr>
          <w:rFonts w:ascii="Calibri" w:hAnsi="Calibri" w:cs="Calibri"/>
        </w:rPr>
        <w:t>.</w:t>
      </w:r>
    </w:p>
    <w:p w:rsidR="00AE3A7B" w:rsidRDefault="00AE3A7B" w:rsidP="00AE3A7B">
      <w:pPr>
        <w:rPr>
          <w:rFonts w:cstheme="minorHAnsi"/>
          <w:sz w:val="20"/>
          <w:szCs w:val="20"/>
        </w:rPr>
      </w:pPr>
      <w:r>
        <w:rPr>
          <w:rFonts w:cstheme="minorHAnsi"/>
          <w:sz w:val="20"/>
          <w:szCs w:val="20"/>
        </w:rPr>
        <w:br w:type="page"/>
      </w:r>
    </w:p>
    <w:p w:rsidR="007A573C" w:rsidRPr="007A573C" w:rsidRDefault="007A573C" w:rsidP="007A573C">
      <w:pPr>
        <w:pStyle w:val="Legenda"/>
        <w:spacing w:after="0"/>
        <w:rPr>
          <w:rFonts w:cstheme="minorHAnsi"/>
          <w:b w:val="0"/>
          <w:color w:val="auto"/>
          <w:sz w:val="20"/>
          <w:szCs w:val="20"/>
        </w:rPr>
      </w:pPr>
      <w:r w:rsidRPr="007A573C">
        <w:rPr>
          <w:b w:val="0"/>
          <w:color w:val="auto"/>
          <w:sz w:val="20"/>
          <w:szCs w:val="20"/>
        </w:rPr>
        <w:lastRenderedPageBreak/>
        <w:t xml:space="preserve">Wykres </w:t>
      </w:r>
      <w:r w:rsidR="00E07640" w:rsidRPr="007A573C">
        <w:rPr>
          <w:b w:val="0"/>
          <w:color w:val="auto"/>
          <w:sz w:val="20"/>
          <w:szCs w:val="20"/>
        </w:rPr>
        <w:fldChar w:fldCharType="begin"/>
      </w:r>
      <w:r w:rsidRPr="007A573C">
        <w:rPr>
          <w:b w:val="0"/>
          <w:color w:val="auto"/>
          <w:sz w:val="20"/>
          <w:szCs w:val="20"/>
        </w:rPr>
        <w:instrText xml:space="preserve"> SEQ Wykres \* ARABIC </w:instrText>
      </w:r>
      <w:r w:rsidR="00E07640" w:rsidRPr="007A573C">
        <w:rPr>
          <w:b w:val="0"/>
          <w:color w:val="auto"/>
          <w:sz w:val="20"/>
          <w:szCs w:val="20"/>
        </w:rPr>
        <w:fldChar w:fldCharType="separate"/>
      </w:r>
      <w:r w:rsidR="00D540D9">
        <w:rPr>
          <w:b w:val="0"/>
          <w:noProof/>
          <w:color w:val="auto"/>
          <w:sz w:val="20"/>
          <w:szCs w:val="20"/>
        </w:rPr>
        <w:t>24</w:t>
      </w:r>
      <w:r w:rsidR="00E07640" w:rsidRPr="007A573C">
        <w:rPr>
          <w:b w:val="0"/>
          <w:color w:val="auto"/>
          <w:sz w:val="20"/>
          <w:szCs w:val="20"/>
        </w:rPr>
        <w:fldChar w:fldCharType="end"/>
      </w:r>
      <w:r w:rsidRPr="007A573C">
        <w:rPr>
          <w:b w:val="0"/>
          <w:color w:val="auto"/>
          <w:sz w:val="20"/>
          <w:szCs w:val="20"/>
        </w:rPr>
        <w:t>.</w:t>
      </w:r>
    </w:p>
    <w:p w:rsidR="007A573C" w:rsidRDefault="00ED1B7D" w:rsidP="00ED1B7D">
      <w:pPr>
        <w:spacing w:after="0"/>
        <w:jc w:val="center"/>
        <w:rPr>
          <w:rFonts w:cstheme="minorHAnsi"/>
          <w:sz w:val="20"/>
          <w:szCs w:val="20"/>
        </w:rPr>
      </w:pPr>
      <w:r w:rsidRPr="00ED1B7D">
        <w:rPr>
          <w:rFonts w:cstheme="minorHAnsi"/>
          <w:noProof/>
          <w:sz w:val="20"/>
          <w:szCs w:val="20"/>
        </w:rPr>
        <w:drawing>
          <wp:inline distT="0" distB="0" distL="0" distR="0">
            <wp:extent cx="4167963" cy="3274828"/>
            <wp:effectExtent l="0" t="0" r="0" b="0"/>
            <wp:docPr id="51"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A573C" w:rsidRPr="00ED1B7D" w:rsidRDefault="00ED1B7D" w:rsidP="00C43F71">
      <w:pPr>
        <w:spacing w:after="0"/>
        <w:jc w:val="both"/>
        <w:rPr>
          <w:rFonts w:cstheme="minorHAnsi"/>
          <w:sz w:val="20"/>
          <w:szCs w:val="20"/>
        </w:rPr>
      </w:pPr>
      <w:r w:rsidRPr="00ED1B7D">
        <w:rPr>
          <w:rFonts w:ascii="Calibri" w:hAnsi="Calibri" w:cs="Calibri"/>
          <w:sz w:val="20"/>
          <w:szCs w:val="20"/>
        </w:rPr>
        <w:t>Źródło: opracowanie własne na podstawie danych GUS.</w:t>
      </w:r>
    </w:p>
    <w:p w:rsidR="00AE3A7B" w:rsidRDefault="00AE3A7B" w:rsidP="00C43F71">
      <w:pPr>
        <w:spacing w:after="0"/>
        <w:jc w:val="both"/>
        <w:rPr>
          <w:rFonts w:ascii="Calibri" w:hAnsi="Calibri" w:cs="Calibri"/>
        </w:rPr>
      </w:pPr>
      <w:r w:rsidRPr="008369AA">
        <w:rPr>
          <w:rFonts w:cstheme="minorHAnsi"/>
          <w:sz w:val="20"/>
          <w:szCs w:val="20"/>
        </w:rPr>
        <w:t xml:space="preserve">Wykres </w:t>
      </w:r>
      <w:r w:rsidR="00E07640" w:rsidRPr="008369AA">
        <w:rPr>
          <w:rFonts w:cstheme="minorHAnsi"/>
          <w:sz w:val="20"/>
          <w:szCs w:val="20"/>
        </w:rPr>
        <w:fldChar w:fldCharType="begin"/>
      </w:r>
      <w:r w:rsidRPr="008369AA">
        <w:rPr>
          <w:rFonts w:cstheme="minorHAnsi"/>
          <w:sz w:val="20"/>
          <w:szCs w:val="20"/>
        </w:rPr>
        <w:instrText xml:space="preserve"> SEQ Wykres \* ARABIC </w:instrText>
      </w:r>
      <w:r w:rsidR="00E07640" w:rsidRPr="008369AA">
        <w:rPr>
          <w:rFonts w:cstheme="minorHAnsi"/>
          <w:sz w:val="20"/>
          <w:szCs w:val="20"/>
        </w:rPr>
        <w:fldChar w:fldCharType="separate"/>
      </w:r>
      <w:r w:rsidR="00D540D9">
        <w:rPr>
          <w:rFonts w:cstheme="minorHAnsi"/>
          <w:noProof/>
          <w:sz w:val="20"/>
          <w:szCs w:val="20"/>
        </w:rPr>
        <w:t>25</w:t>
      </w:r>
      <w:r w:rsidR="00E07640" w:rsidRPr="008369AA">
        <w:rPr>
          <w:rFonts w:cstheme="minorHAnsi"/>
          <w:sz w:val="20"/>
          <w:szCs w:val="20"/>
        </w:rPr>
        <w:fldChar w:fldCharType="end"/>
      </w:r>
      <w:r w:rsidRPr="008369AA">
        <w:rPr>
          <w:rFonts w:cstheme="minorHAnsi"/>
        </w:rPr>
        <w:t>.</w:t>
      </w:r>
    </w:p>
    <w:p w:rsidR="00AE3A7B" w:rsidRPr="00A43773" w:rsidRDefault="0045024A" w:rsidP="00A43773">
      <w:pPr>
        <w:pStyle w:val="Legenda"/>
        <w:spacing w:after="0" w:line="276" w:lineRule="auto"/>
        <w:jc w:val="center"/>
        <w:rPr>
          <w:rFonts w:cstheme="minorHAnsi"/>
          <w:b w:val="0"/>
          <w:color w:val="auto"/>
        </w:rPr>
      </w:pPr>
      <w:r w:rsidRPr="0045024A">
        <w:rPr>
          <w:rFonts w:cstheme="minorHAnsi"/>
          <w:b w:val="0"/>
          <w:noProof/>
        </w:rPr>
        <w:drawing>
          <wp:inline distT="0" distB="0" distL="0" distR="0">
            <wp:extent cx="3827721" cy="3785191"/>
            <wp:effectExtent l="0" t="0" r="0" b="0"/>
            <wp:docPr id="5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E3A7B" w:rsidRDefault="00AE3A7B" w:rsidP="00AE3A7B">
      <w:pPr>
        <w:pStyle w:val="Legenda"/>
        <w:spacing w:line="276" w:lineRule="auto"/>
        <w:rPr>
          <w:rFonts w:ascii="Calibri" w:hAnsi="Calibri" w:cs="Calibri"/>
          <w:b w:val="0"/>
          <w:color w:val="auto"/>
          <w:sz w:val="20"/>
          <w:szCs w:val="20"/>
        </w:rPr>
      </w:pPr>
      <w:r w:rsidRPr="00A43773">
        <w:rPr>
          <w:rFonts w:ascii="Calibri" w:hAnsi="Calibri" w:cs="Calibri"/>
          <w:b w:val="0"/>
          <w:color w:val="auto"/>
          <w:sz w:val="20"/>
          <w:szCs w:val="20"/>
        </w:rPr>
        <w:t>Źródło: opracowanie własne na podstawie danych GUS.</w:t>
      </w:r>
    </w:p>
    <w:p w:rsidR="00FC12CC" w:rsidRDefault="00FC12CC">
      <w:r>
        <w:rPr>
          <w:b/>
          <w:bCs/>
        </w:rPr>
        <w:br w:type="page"/>
      </w:r>
    </w:p>
    <w:p w:rsidR="00AE3A7B" w:rsidRPr="000553E9" w:rsidRDefault="00AE3A7B" w:rsidP="000553E9">
      <w:pPr>
        <w:pStyle w:val="Legenda"/>
        <w:spacing w:after="0" w:line="276" w:lineRule="auto"/>
        <w:rPr>
          <w:rFonts w:ascii="Calibri" w:hAnsi="Calibri" w:cs="Calibri"/>
          <w:color w:val="auto"/>
          <w:sz w:val="20"/>
          <w:szCs w:val="20"/>
        </w:rPr>
      </w:pPr>
      <w:r w:rsidRPr="000553E9">
        <w:rPr>
          <w:rFonts w:cstheme="minorHAnsi"/>
          <w:b w:val="0"/>
          <w:color w:val="auto"/>
          <w:sz w:val="20"/>
          <w:szCs w:val="20"/>
        </w:rPr>
        <w:lastRenderedPageBreak/>
        <w:t xml:space="preserve">Wykres </w:t>
      </w:r>
      <w:r w:rsidR="00E07640" w:rsidRPr="000553E9">
        <w:rPr>
          <w:rFonts w:cstheme="minorHAnsi"/>
          <w:b w:val="0"/>
          <w:color w:val="auto"/>
          <w:sz w:val="20"/>
          <w:szCs w:val="20"/>
        </w:rPr>
        <w:fldChar w:fldCharType="begin"/>
      </w:r>
      <w:r w:rsidRPr="000553E9">
        <w:rPr>
          <w:rFonts w:cstheme="minorHAnsi"/>
          <w:b w:val="0"/>
          <w:color w:val="auto"/>
          <w:sz w:val="20"/>
          <w:szCs w:val="20"/>
        </w:rPr>
        <w:instrText xml:space="preserve"> SEQ Wykres \* ARABIC </w:instrText>
      </w:r>
      <w:r w:rsidR="00E07640" w:rsidRPr="000553E9">
        <w:rPr>
          <w:rFonts w:cstheme="minorHAnsi"/>
          <w:b w:val="0"/>
          <w:color w:val="auto"/>
          <w:sz w:val="20"/>
          <w:szCs w:val="20"/>
        </w:rPr>
        <w:fldChar w:fldCharType="separate"/>
      </w:r>
      <w:r w:rsidR="00D540D9">
        <w:rPr>
          <w:rFonts w:cstheme="minorHAnsi"/>
          <w:b w:val="0"/>
          <w:noProof/>
          <w:color w:val="auto"/>
          <w:sz w:val="20"/>
          <w:szCs w:val="20"/>
        </w:rPr>
        <w:t>26</w:t>
      </w:r>
      <w:r w:rsidR="00E07640" w:rsidRPr="000553E9">
        <w:rPr>
          <w:rFonts w:cstheme="minorHAnsi"/>
          <w:b w:val="0"/>
          <w:color w:val="auto"/>
          <w:sz w:val="20"/>
          <w:szCs w:val="20"/>
        </w:rPr>
        <w:fldChar w:fldCharType="end"/>
      </w:r>
      <w:r w:rsidRPr="000553E9">
        <w:rPr>
          <w:rFonts w:cstheme="minorHAnsi"/>
          <w:b w:val="0"/>
          <w:color w:val="auto"/>
          <w:sz w:val="20"/>
          <w:szCs w:val="20"/>
        </w:rPr>
        <w:t>.</w:t>
      </w:r>
    </w:p>
    <w:p w:rsidR="000553E9" w:rsidRDefault="00A55494" w:rsidP="00A55494">
      <w:pPr>
        <w:spacing w:after="0"/>
        <w:jc w:val="both"/>
        <w:rPr>
          <w:rFonts w:ascii="Calibri" w:hAnsi="Calibri" w:cs="Calibri"/>
        </w:rPr>
      </w:pPr>
      <w:r>
        <w:rPr>
          <w:rFonts w:ascii="Calibri" w:hAnsi="Calibri" w:cs="Calibri"/>
          <w:noProof/>
        </w:rPr>
        <w:drawing>
          <wp:anchor distT="0" distB="0" distL="114300" distR="114300" simplePos="0" relativeHeight="251677696" behindDoc="0" locked="0" layoutInCell="1" allowOverlap="1">
            <wp:simplePos x="0" y="0"/>
            <wp:positionH relativeFrom="margin">
              <wp:align>left</wp:align>
            </wp:positionH>
            <wp:positionV relativeFrom="margin">
              <wp:posOffset>269240</wp:posOffset>
            </wp:positionV>
            <wp:extent cx="2679065" cy="2455545"/>
            <wp:effectExtent l="0" t="0" r="0" b="0"/>
            <wp:wrapSquare wrapText="bothSides"/>
            <wp:docPr id="56"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A55494">
        <w:rPr>
          <w:rFonts w:ascii="Calibri" w:hAnsi="Calibri" w:cs="Calibri"/>
        </w:rPr>
        <w:t xml:space="preserve">Najwięcej firm (85%) stanowiło własność osób fizycznych prowadzących działalność gospodarczą. Znacznie mniejszą grupę wśród podmiotów gospodarczych stanowiły spółki cywilne (6%) </w:t>
      </w:r>
      <w:r w:rsidR="00E86CC8">
        <w:rPr>
          <w:rFonts w:ascii="Calibri" w:hAnsi="Calibri" w:cs="Calibri"/>
        </w:rPr>
        <w:br/>
      </w:r>
      <w:r w:rsidRPr="00A55494">
        <w:rPr>
          <w:rFonts w:ascii="Calibri" w:hAnsi="Calibri" w:cs="Calibri"/>
        </w:rPr>
        <w:t>i handlowe (4%). W 2010 r. w gminie Pobiedziska przeważały podmioty należące do grupy mikroprzedsiębiorstw tzn. zatrudniające do 9 pracowników, które stanowiły blisko 96% ogółu zarejestrowanych jednostek w gminie. W 2010 r. w Pobiedziskach funkcjonowały 22 spółki z udziałem kapitału zagranicznego.</w:t>
      </w:r>
    </w:p>
    <w:p w:rsidR="00872900" w:rsidRDefault="00872900" w:rsidP="00A55494">
      <w:pPr>
        <w:spacing w:after="0"/>
        <w:jc w:val="both"/>
        <w:rPr>
          <w:rFonts w:ascii="Calibri" w:hAnsi="Calibri" w:cs="Calibri"/>
        </w:rPr>
      </w:pPr>
    </w:p>
    <w:p w:rsidR="00872900" w:rsidRPr="00A55494" w:rsidRDefault="00872900" w:rsidP="00A55494">
      <w:pPr>
        <w:spacing w:after="0"/>
        <w:jc w:val="both"/>
      </w:pPr>
    </w:p>
    <w:p w:rsidR="000553E9" w:rsidRPr="000553E9" w:rsidRDefault="000553E9" w:rsidP="000553E9">
      <w:pPr>
        <w:spacing w:after="0"/>
      </w:pPr>
      <w:r w:rsidRPr="000553E9">
        <w:rPr>
          <w:rFonts w:ascii="Calibri" w:hAnsi="Calibri" w:cs="Calibri"/>
          <w:sz w:val="20"/>
          <w:szCs w:val="20"/>
        </w:rPr>
        <w:t>Źródło: opracowanie własne na podstawie danych GUS.</w:t>
      </w:r>
    </w:p>
    <w:p w:rsidR="00AE3A7B" w:rsidRDefault="00AE3A7B" w:rsidP="00AE3A7B">
      <w:pPr>
        <w:spacing w:before="150" w:after="75"/>
        <w:jc w:val="both"/>
        <w:outlineLvl w:val="3"/>
        <w:rPr>
          <w:rFonts w:ascii="Calibri" w:hAnsi="Calibri" w:cs="Tahoma"/>
        </w:rPr>
      </w:pPr>
      <w:r>
        <w:rPr>
          <w:rFonts w:ascii="Calibri" w:hAnsi="Calibri" w:cs="Calibri"/>
        </w:rPr>
        <w:t>Na koniec 2010</w:t>
      </w:r>
      <w:r w:rsidRPr="00336890">
        <w:rPr>
          <w:rFonts w:ascii="Calibri" w:hAnsi="Calibri" w:cs="Calibri"/>
        </w:rPr>
        <w:t xml:space="preserve"> r. wśród podmiotów gospodarczych z</w:t>
      </w:r>
      <w:r w:rsidR="00A55494">
        <w:rPr>
          <w:rFonts w:ascii="Calibri" w:hAnsi="Calibri" w:cs="Calibri"/>
        </w:rPr>
        <w:t>arejestrowanych w gminie Pobiedziska</w:t>
      </w:r>
      <w:r w:rsidRPr="00336890">
        <w:rPr>
          <w:rFonts w:ascii="Calibri" w:hAnsi="Calibri" w:cs="Calibri"/>
        </w:rPr>
        <w:t xml:space="preserve"> dominowały jednostki prowadzą</w:t>
      </w:r>
      <w:r>
        <w:rPr>
          <w:rFonts w:ascii="Calibri" w:hAnsi="Calibri" w:cs="Calibri"/>
        </w:rPr>
        <w:t>ce</w:t>
      </w:r>
      <w:r w:rsidRPr="00336890">
        <w:rPr>
          <w:rFonts w:ascii="Calibri" w:hAnsi="Calibri" w:cs="Calibri"/>
        </w:rPr>
        <w:t xml:space="preserve"> działalność gospo</w:t>
      </w:r>
      <w:r>
        <w:rPr>
          <w:rFonts w:ascii="Calibri" w:hAnsi="Calibri" w:cs="Calibri"/>
        </w:rPr>
        <w:t xml:space="preserve">darczą w sekcji handel i naprawa </w:t>
      </w:r>
      <w:r w:rsidR="00A55494">
        <w:rPr>
          <w:rFonts w:ascii="Calibri" w:hAnsi="Calibri" w:cs="Calibri"/>
        </w:rPr>
        <w:t>pojazdów samochodowych (ponad 24</w:t>
      </w:r>
      <w:r w:rsidRPr="00336890">
        <w:rPr>
          <w:rFonts w:ascii="Calibri" w:hAnsi="Calibri" w:cs="Calibri"/>
        </w:rPr>
        <w:t xml:space="preserve">%), </w:t>
      </w:r>
      <w:r w:rsidR="00A55494">
        <w:rPr>
          <w:rFonts w:ascii="Calibri" w:hAnsi="Calibri" w:cs="Calibri"/>
        </w:rPr>
        <w:t>budownictwo (18</w:t>
      </w:r>
      <w:r w:rsidR="00FB2513">
        <w:rPr>
          <w:rFonts w:ascii="Calibri" w:hAnsi="Calibri" w:cs="Calibri"/>
        </w:rPr>
        <w:t xml:space="preserve"> %) oraz przemysł (</w:t>
      </w:r>
      <w:r>
        <w:rPr>
          <w:rFonts w:ascii="Calibri" w:hAnsi="Calibri" w:cs="Calibri"/>
        </w:rPr>
        <w:t>11</w:t>
      </w:r>
      <w:r w:rsidRPr="00336890">
        <w:rPr>
          <w:rFonts w:ascii="Calibri" w:hAnsi="Calibri" w:cs="Calibri"/>
        </w:rPr>
        <w:t>%).</w:t>
      </w:r>
    </w:p>
    <w:p w:rsidR="00AE3A7B" w:rsidRDefault="00FB2513" w:rsidP="00FB2513">
      <w:pPr>
        <w:pStyle w:val="Legenda"/>
        <w:spacing w:after="0"/>
        <w:rPr>
          <w:b w:val="0"/>
          <w:color w:val="auto"/>
          <w:sz w:val="20"/>
          <w:szCs w:val="20"/>
        </w:rPr>
      </w:pPr>
      <w:r w:rsidRPr="00FB2513">
        <w:rPr>
          <w:b w:val="0"/>
          <w:color w:val="auto"/>
          <w:sz w:val="20"/>
          <w:szCs w:val="20"/>
        </w:rPr>
        <w:t xml:space="preserve">Wykres </w:t>
      </w:r>
      <w:r w:rsidR="00E07640" w:rsidRPr="00FB2513">
        <w:rPr>
          <w:b w:val="0"/>
          <w:color w:val="auto"/>
          <w:sz w:val="20"/>
          <w:szCs w:val="20"/>
        </w:rPr>
        <w:fldChar w:fldCharType="begin"/>
      </w:r>
      <w:r w:rsidRPr="00FB2513">
        <w:rPr>
          <w:b w:val="0"/>
          <w:color w:val="auto"/>
          <w:sz w:val="20"/>
          <w:szCs w:val="20"/>
        </w:rPr>
        <w:instrText xml:space="preserve"> SEQ Wykres \* ARABIC </w:instrText>
      </w:r>
      <w:r w:rsidR="00E07640" w:rsidRPr="00FB2513">
        <w:rPr>
          <w:b w:val="0"/>
          <w:color w:val="auto"/>
          <w:sz w:val="20"/>
          <w:szCs w:val="20"/>
        </w:rPr>
        <w:fldChar w:fldCharType="separate"/>
      </w:r>
      <w:r w:rsidR="00D540D9">
        <w:rPr>
          <w:b w:val="0"/>
          <w:noProof/>
          <w:color w:val="auto"/>
          <w:sz w:val="20"/>
          <w:szCs w:val="20"/>
        </w:rPr>
        <w:t>27</w:t>
      </w:r>
      <w:r w:rsidR="00E07640" w:rsidRPr="00FB2513">
        <w:rPr>
          <w:b w:val="0"/>
          <w:color w:val="auto"/>
          <w:sz w:val="20"/>
          <w:szCs w:val="20"/>
        </w:rPr>
        <w:fldChar w:fldCharType="end"/>
      </w:r>
      <w:r w:rsidRPr="00FB2513">
        <w:rPr>
          <w:b w:val="0"/>
          <w:color w:val="auto"/>
          <w:sz w:val="20"/>
          <w:szCs w:val="20"/>
        </w:rPr>
        <w:t>.</w:t>
      </w:r>
    </w:p>
    <w:p w:rsidR="00FB2513" w:rsidRDefault="00FB2513" w:rsidP="00FB2513">
      <w:pPr>
        <w:spacing w:after="0"/>
        <w:jc w:val="center"/>
      </w:pPr>
      <w:r w:rsidRPr="00FB2513">
        <w:rPr>
          <w:noProof/>
        </w:rPr>
        <w:drawing>
          <wp:inline distT="0" distB="0" distL="0" distR="0">
            <wp:extent cx="4391247" cy="3083442"/>
            <wp:effectExtent l="0" t="0" r="0" b="0"/>
            <wp:docPr id="57"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B2513" w:rsidRPr="000553E9" w:rsidRDefault="00FB2513" w:rsidP="00FB2513">
      <w:r w:rsidRPr="000553E9">
        <w:rPr>
          <w:rFonts w:ascii="Calibri" w:hAnsi="Calibri" w:cs="Calibri"/>
          <w:sz w:val="20"/>
          <w:szCs w:val="20"/>
        </w:rPr>
        <w:t>Źródło: opracowanie własne na podstawie danych GUS.</w:t>
      </w:r>
    </w:p>
    <w:p w:rsidR="00AE3A7B" w:rsidRPr="00031B63" w:rsidRDefault="00031B63" w:rsidP="000B1C16">
      <w:pPr>
        <w:pStyle w:val="Legenda"/>
        <w:spacing w:after="0" w:line="276" w:lineRule="auto"/>
        <w:jc w:val="both"/>
        <w:rPr>
          <w:rFonts w:ascii="Calibri" w:hAnsi="Calibri" w:cs="Calibri"/>
          <w:b w:val="0"/>
          <w:color w:val="auto"/>
          <w:sz w:val="22"/>
          <w:szCs w:val="22"/>
        </w:rPr>
      </w:pPr>
      <w:r w:rsidRPr="00031B63">
        <w:rPr>
          <w:rFonts w:ascii="Calibri" w:hAnsi="Calibri" w:cs="Calibri"/>
          <w:b w:val="0"/>
          <w:color w:val="auto"/>
          <w:sz w:val="22"/>
          <w:szCs w:val="22"/>
        </w:rPr>
        <w:t>W 2010 r. w gminie zarejestrowano 206</w:t>
      </w:r>
      <w:r w:rsidR="00AE3A7B" w:rsidRPr="00031B63">
        <w:rPr>
          <w:rFonts w:ascii="Calibri" w:hAnsi="Calibri" w:cs="Calibri"/>
          <w:b w:val="0"/>
          <w:color w:val="auto"/>
          <w:sz w:val="22"/>
          <w:szCs w:val="22"/>
        </w:rPr>
        <w:t xml:space="preserve"> nowych podmiotów gospodarczych, tj. </w:t>
      </w:r>
      <w:r w:rsidRPr="00031B63">
        <w:rPr>
          <w:rFonts w:ascii="Calibri" w:hAnsi="Calibri" w:cs="Calibri"/>
          <w:b w:val="0"/>
          <w:color w:val="auto"/>
          <w:sz w:val="22"/>
          <w:szCs w:val="22"/>
        </w:rPr>
        <w:t>blisko</w:t>
      </w:r>
      <w:r w:rsidR="00315AE0">
        <w:rPr>
          <w:rFonts w:ascii="Calibri" w:hAnsi="Calibri" w:cs="Calibri"/>
          <w:b w:val="0"/>
          <w:color w:val="auto"/>
          <w:sz w:val="22"/>
          <w:szCs w:val="22"/>
        </w:rPr>
        <w:t xml:space="preserve"> 5</w:t>
      </w:r>
      <w:r w:rsidR="00AE3A7B" w:rsidRPr="00031B63">
        <w:rPr>
          <w:rFonts w:ascii="Calibri" w:hAnsi="Calibri" w:cs="Calibri"/>
          <w:b w:val="0"/>
          <w:color w:val="auto"/>
          <w:sz w:val="22"/>
          <w:szCs w:val="22"/>
        </w:rPr>
        <w:t xml:space="preserve">% nowozarejestrowanych podmiotów w powiecie. W porównaniu do roku 2009 nastąpił wzrost liczby nowopowstałych podmiotów o </w:t>
      </w:r>
      <w:r w:rsidRPr="00031B63">
        <w:rPr>
          <w:rFonts w:ascii="Calibri" w:hAnsi="Calibri" w:cs="Calibri"/>
          <w:b w:val="0"/>
          <w:color w:val="auto"/>
          <w:sz w:val="22"/>
          <w:szCs w:val="22"/>
        </w:rPr>
        <w:t>blisko 5</w:t>
      </w:r>
      <w:r w:rsidR="00AE3A7B" w:rsidRPr="00031B63">
        <w:rPr>
          <w:rFonts w:ascii="Calibri" w:hAnsi="Calibri" w:cs="Calibri"/>
          <w:b w:val="0"/>
          <w:color w:val="auto"/>
          <w:sz w:val="22"/>
          <w:szCs w:val="22"/>
        </w:rPr>
        <w:t>%.</w:t>
      </w:r>
    </w:p>
    <w:p w:rsidR="00AE3A7B" w:rsidRDefault="00EC69E5" w:rsidP="000B1C16">
      <w:pPr>
        <w:spacing w:after="0"/>
        <w:jc w:val="both"/>
        <w:rPr>
          <w:rFonts w:ascii="Calibri" w:hAnsi="Calibri" w:cs="Calibri"/>
        </w:rPr>
      </w:pPr>
      <w:r>
        <w:rPr>
          <w:rFonts w:ascii="Calibri" w:hAnsi="Calibri" w:cs="Calibri"/>
        </w:rPr>
        <w:t>W gminie Pobiedziska</w:t>
      </w:r>
      <w:r w:rsidR="00AE3A7B">
        <w:rPr>
          <w:rFonts w:ascii="Calibri" w:hAnsi="Calibri" w:cs="Calibri"/>
        </w:rPr>
        <w:t xml:space="preserve"> </w:t>
      </w:r>
      <w:r w:rsidR="00AE3A7B" w:rsidRPr="0093684C">
        <w:rPr>
          <w:rFonts w:ascii="Calibri" w:hAnsi="Calibri" w:cs="Calibri"/>
        </w:rPr>
        <w:t xml:space="preserve">działają duże sieci handlu detalicznego, takie jak </w:t>
      </w:r>
      <w:r w:rsidR="00031B63">
        <w:rPr>
          <w:rFonts w:ascii="Calibri" w:hAnsi="Calibri" w:cs="Calibri"/>
        </w:rPr>
        <w:t>Biedronka, Polo Market</w:t>
      </w:r>
      <w:r w:rsidR="00AE3A7B">
        <w:rPr>
          <w:rFonts w:ascii="Calibri" w:hAnsi="Calibri" w:cs="Calibri"/>
        </w:rPr>
        <w:t>.</w:t>
      </w:r>
    </w:p>
    <w:p w:rsidR="00AE3A7B" w:rsidRDefault="00535843" w:rsidP="000B1C16">
      <w:pPr>
        <w:spacing w:after="0"/>
        <w:jc w:val="both"/>
        <w:rPr>
          <w:rFonts w:ascii="Calibri" w:hAnsi="Calibri" w:cs="Calibri"/>
        </w:rPr>
      </w:pPr>
      <w:r w:rsidRPr="00E07640">
        <w:pict>
          <v:shape id="_x0000_s1041" type="#_x0000_t185" style="width:94.75pt;height:445.75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41;mso-fit-shape-to-text:t" inset="18pt,18pt,,18pt">
              <w:txbxContent>
                <w:p w:rsidR="00291CA0" w:rsidRPr="00BE3EA2" w:rsidRDefault="00291CA0" w:rsidP="00A3534A">
                  <w:pPr>
                    <w:spacing w:before="120" w:after="120"/>
                    <w:jc w:val="both"/>
                    <w:rPr>
                      <w:b/>
                      <w:i/>
                      <w:iCs/>
                      <w:color w:val="943634" w:themeColor="accent2" w:themeShade="BF"/>
                    </w:rPr>
                  </w:pPr>
                  <w:r w:rsidRPr="00BE3EA2">
                    <w:rPr>
                      <w:b/>
                      <w:i/>
                      <w:iCs/>
                      <w:color w:val="943634" w:themeColor="accent2" w:themeShade="BF"/>
                    </w:rPr>
                    <w:t>KONKLUZJE STRATEGICZNE</w:t>
                  </w:r>
                </w:p>
                <w:p w:rsidR="00291CA0" w:rsidRPr="00BE3EA2" w:rsidRDefault="00291CA0" w:rsidP="00A3534A">
                  <w:pPr>
                    <w:spacing w:before="120" w:after="120"/>
                    <w:jc w:val="both"/>
                    <w:rPr>
                      <w:b/>
                      <w:i/>
                      <w:iCs/>
                      <w:color w:val="808080" w:themeColor="background1" w:themeShade="80"/>
                    </w:rPr>
                  </w:pPr>
                  <w:r>
                    <w:rPr>
                      <w:b/>
                      <w:i/>
                      <w:iCs/>
                      <w:color w:val="808080" w:themeColor="background1" w:themeShade="80"/>
                    </w:rPr>
                    <w:t xml:space="preserve">Ze względu na wysoki poziom przedsiębiorczości w gminie, należy kontynuować i rozszerzać działania </w:t>
                  </w:r>
                  <w:r>
                    <w:rPr>
                      <w:rFonts w:ascii="Calibri" w:hAnsi="Calibri" w:cs="MyriadPro-Regular"/>
                      <w:b/>
                      <w:i/>
                      <w:color w:val="808080" w:themeColor="background1" w:themeShade="80"/>
                    </w:rPr>
                    <w:t>sprzyjające</w:t>
                  </w:r>
                  <w:r w:rsidRPr="00FA4C9B">
                    <w:rPr>
                      <w:rFonts w:ascii="Calibri" w:hAnsi="Calibri" w:cs="MyriadPro-Regular"/>
                      <w:b/>
                      <w:i/>
                      <w:color w:val="808080" w:themeColor="background1" w:themeShade="80"/>
                    </w:rPr>
                    <w:t xml:space="preserve"> prowadzeniu działalności gospodarczej</w:t>
                  </w:r>
                  <w:r>
                    <w:rPr>
                      <w:rFonts w:ascii="Calibri" w:hAnsi="Calibri" w:cs="MyriadPro-Regular"/>
                      <w:b/>
                      <w:i/>
                      <w:color w:val="808080" w:themeColor="background1" w:themeShade="80"/>
                    </w:rPr>
                    <w:t>.</w:t>
                  </w:r>
                </w:p>
              </w:txbxContent>
            </v:textbox>
            <w10:wrap type="none" anchorx="margin" anchory="margin"/>
            <w10:anchorlock/>
          </v:shape>
        </w:pict>
      </w:r>
    </w:p>
    <w:p w:rsidR="009A7ABC" w:rsidRPr="00885434" w:rsidRDefault="00927DA9" w:rsidP="00927DA9">
      <w:pPr>
        <w:pStyle w:val="Nagwek2"/>
        <w:ind w:left="360"/>
        <w:rPr>
          <w:rFonts w:asciiTheme="minorHAnsi" w:hAnsiTheme="minorHAnsi"/>
          <w:color w:val="943634" w:themeColor="accent2" w:themeShade="BF"/>
        </w:rPr>
      </w:pPr>
      <w:bookmarkStart w:id="18" w:name="_Toc321135335"/>
      <w:r w:rsidRPr="00885434">
        <w:rPr>
          <w:rFonts w:asciiTheme="minorHAnsi" w:hAnsiTheme="minorHAnsi"/>
          <w:color w:val="943634" w:themeColor="accent2" w:themeShade="BF"/>
        </w:rPr>
        <w:t xml:space="preserve">5.8 </w:t>
      </w:r>
      <w:r w:rsidR="009A7ABC" w:rsidRPr="00885434">
        <w:rPr>
          <w:rFonts w:asciiTheme="minorHAnsi" w:hAnsiTheme="minorHAnsi"/>
          <w:color w:val="943634" w:themeColor="accent2" w:themeShade="BF"/>
        </w:rPr>
        <w:t>Gospodarka mieszkaniowa</w:t>
      </w:r>
      <w:bookmarkEnd w:id="18"/>
    </w:p>
    <w:p w:rsidR="00C8078A" w:rsidRPr="00885434" w:rsidRDefault="00C8078A" w:rsidP="0055791C">
      <w:pPr>
        <w:spacing w:before="60" w:after="60"/>
        <w:jc w:val="both"/>
      </w:pPr>
      <w:r w:rsidRPr="00885434">
        <w:t>W</w:t>
      </w:r>
      <w:r w:rsidR="006667AF" w:rsidRPr="00885434">
        <w:t>edług danych GUS w</w:t>
      </w:r>
      <w:r w:rsidRPr="00885434">
        <w:t xml:space="preserve"> roku 2010 zasoby mieszkaniowe gminy wynosiły </w:t>
      </w:r>
      <w:r w:rsidR="000613BB">
        <w:t xml:space="preserve">blisko </w:t>
      </w:r>
      <w:r w:rsidR="00A3079A" w:rsidRPr="00885434">
        <w:t>5</w:t>
      </w:r>
      <w:r w:rsidR="000613BB">
        <w:t>,4 tys.</w:t>
      </w:r>
      <w:r w:rsidRPr="00885434">
        <w:t xml:space="preserve"> mieszkań</w:t>
      </w:r>
      <w:r w:rsidR="00A3079A" w:rsidRPr="00885434">
        <w:t xml:space="preserve"> </w:t>
      </w:r>
      <w:r w:rsidR="00315AE0">
        <w:br/>
      </w:r>
      <w:r w:rsidRPr="00885434">
        <w:t xml:space="preserve">(o </w:t>
      </w:r>
      <w:r w:rsidR="00A3079A" w:rsidRPr="00885434">
        <w:t>976</w:t>
      </w:r>
      <w:r w:rsidRPr="00885434">
        <w:t xml:space="preserve"> mieszkań więcej ni</w:t>
      </w:r>
      <w:r w:rsidR="00A3079A" w:rsidRPr="00885434">
        <w:t>ż</w:t>
      </w:r>
      <w:r w:rsidRPr="00885434">
        <w:t xml:space="preserve"> w </w:t>
      </w:r>
      <w:r w:rsidR="00A3079A" w:rsidRPr="00885434">
        <w:t>2002</w:t>
      </w:r>
      <w:r w:rsidR="00D04195" w:rsidRPr="00885434">
        <w:t> </w:t>
      </w:r>
      <w:r w:rsidRPr="00885434">
        <w:t>r.). Na uwagę</w:t>
      </w:r>
      <w:r w:rsidR="00A3079A" w:rsidRPr="00885434">
        <w:t xml:space="preserve"> </w:t>
      </w:r>
      <w:r w:rsidRPr="00885434">
        <w:t>zasługuje bardzo wysoki udział zabudowy jednorodzinnej. Jest ona skupiona w</w:t>
      </w:r>
      <w:r w:rsidR="00A3079A" w:rsidRPr="00885434">
        <w:t xml:space="preserve"> </w:t>
      </w:r>
      <w:r w:rsidRPr="00885434">
        <w:t xml:space="preserve">miejscowościach: Biskupice, Jerzykowo, Bugaj, Główna, Polska Wieś, </w:t>
      </w:r>
      <w:r w:rsidR="00A3079A" w:rsidRPr="00885434">
        <w:t>leżącymi wzdłuż</w:t>
      </w:r>
      <w:r w:rsidRPr="00885434">
        <w:t xml:space="preserve"> głównej trasy komunikacyjnej Poznań – Gniezno. We wsiach </w:t>
      </w:r>
      <w:r w:rsidR="00A3079A" w:rsidRPr="00885434">
        <w:t xml:space="preserve">przeważa </w:t>
      </w:r>
      <w:r w:rsidRPr="00885434">
        <w:t>zabudowa zagrodowa. W ośrodkach gospodarstw wielkoobszarowych (Pomarzanowice,</w:t>
      </w:r>
      <w:r w:rsidR="00A3079A" w:rsidRPr="00885434">
        <w:t xml:space="preserve"> </w:t>
      </w:r>
      <w:r w:rsidRPr="00885434">
        <w:t xml:space="preserve">Kociałkowa Górka, Jerzyn, Kocanowo, Krześlice, Kowalskie), występuje </w:t>
      </w:r>
      <w:r w:rsidR="00A3079A" w:rsidRPr="00885434">
        <w:t xml:space="preserve">również </w:t>
      </w:r>
      <w:r w:rsidRPr="00885434">
        <w:t>zabudowa wielorodzinna nowa (bloki) i stara (czworaki). Większość budynków</w:t>
      </w:r>
      <w:r w:rsidR="00A3079A" w:rsidRPr="00885434">
        <w:t xml:space="preserve"> </w:t>
      </w:r>
      <w:r w:rsidRPr="00885434">
        <w:t>wybudowanych w ostatnich 30 latach posiada dobry stan techniczny. Niezadawalający</w:t>
      </w:r>
      <w:r w:rsidR="00A3079A" w:rsidRPr="00885434">
        <w:t xml:space="preserve"> </w:t>
      </w:r>
      <w:r w:rsidRPr="00885434">
        <w:t>jest stan techniczny czworaków oraz dworów.</w:t>
      </w:r>
    </w:p>
    <w:p w:rsidR="009A7ABC" w:rsidRPr="00885434" w:rsidRDefault="001F26B1" w:rsidP="0055791C">
      <w:pPr>
        <w:spacing w:before="60" w:after="60"/>
        <w:jc w:val="both"/>
      </w:pPr>
      <w:r w:rsidRPr="00885434">
        <w:t>W gminie Pobiedziska w 20</w:t>
      </w:r>
      <w:r w:rsidR="00185382" w:rsidRPr="00885434">
        <w:t>10</w:t>
      </w:r>
      <w:r w:rsidRPr="00885434">
        <w:t xml:space="preserve"> r. przeciętna powierzchnia użytkowa w zasobach mieszkaniowych na </w:t>
      </w:r>
      <w:r w:rsidR="00A44474">
        <w:br/>
      </w:r>
      <w:r w:rsidRPr="00885434">
        <w:t>1 osobę wynosiła 28</w:t>
      </w:r>
      <w:r w:rsidR="00185382" w:rsidRPr="00885434">
        <w:t>,3</w:t>
      </w:r>
      <w:r w:rsidRPr="00885434">
        <w:t xml:space="preserve"> m</w:t>
      </w:r>
      <w:r w:rsidRPr="00885434">
        <w:rPr>
          <w:vertAlign w:val="superscript"/>
        </w:rPr>
        <w:t>2</w:t>
      </w:r>
      <w:r w:rsidR="00522C3E" w:rsidRPr="00885434">
        <w:t xml:space="preserve"> i zwiększyła się o 4,3 m</w:t>
      </w:r>
      <w:r w:rsidR="00522C3E" w:rsidRPr="00885434">
        <w:rPr>
          <w:vertAlign w:val="superscript"/>
        </w:rPr>
        <w:t>2</w:t>
      </w:r>
      <w:r w:rsidR="00522C3E" w:rsidRPr="00885434">
        <w:t xml:space="preserve"> w stosunku do roku 2002.</w:t>
      </w:r>
      <w:r w:rsidR="00B50628" w:rsidRPr="00885434">
        <w:t xml:space="preserve"> W prawie wszystkich mieszkaniach istnieje możliwość korzystania z wody bieżącej (97,8%), 87,8% mieszkań posiada łazienkę, 76,7% posiada centralne ogrzewanie.</w:t>
      </w:r>
    </w:p>
    <w:p w:rsidR="00B50628" w:rsidRPr="00885434" w:rsidRDefault="00B50628" w:rsidP="0055791C">
      <w:pPr>
        <w:spacing w:before="60" w:after="60"/>
        <w:jc w:val="both"/>
      </w:pPr>
      <w:r w:rsidRPr="00885434">
        <w:t xml:space="preserve">W 2010 r. oddano do użytkowania 115 mieszkań, z których 8 stanowiły mieszkania komunalne. Większość zasobów mieszkaniowych należy do osób fizycznych (82%), około 8% stanowią zasoby spółdzielni mieszkaniowych, </w:t>
      </w:r>
      <w:r w:rsidR="00E52E45" w:rsidRPr="00885434">
        <w:t>prawie 5% to zasoby gmin (komunalne).</w:t>
      </w:r>
    </w:p>
    <w:p w:rsidR="00B7116D" w:rsidRPr="00885434" w:rsidRDefault="00B7116D" w:rsidP="0055791C">
      <w:pPr>
        <w:spacing w:after="0"/>
        <w:jc w:val="both"/>
      </w:pPr>
      <w:r w:rsidRPr="00885434">
        <w:t>Mieszkaniowy zasób Gminy, wg stanu na dzień 1 stycznia 2011r. tworzą:</w:t>
      </w:r>
    </w:p>
    <w:p w:rsidR="00B7116D" w:rsidRPr="00885434" w:rsidRDefault="00B7116D" w:rsidP="00E84FFC">
      <w:pPr>
        <w:pStyle w:val="Akapitzlist"/>
        <w:numPr>
          <w:ilvl w:val="0"/>
          <w:numId w:val="6"/>
        </w:numPr>
        <w:spacing w:line="276" w:lineRule="auto"/>
        <w:jc w:val="both"/>
        <w:rPr>
          <w:rFonts w:asciiTheme="minorHAnsi" w:hAnsiTheme="minorHAnsi"/>
          <w:sz w:val="22"/>
        </w:rPr>
      </w:pPr>
      <w:r w:rsidRPr="00885434">
        <w:rPr>
          <w:rFonts w:asciiTheme="minorHAnsi" w:hAnsiTheme="minorHAnsi"/>
          <w:sz w:val="22"/>
        </w:rPr>
        <w:t>budynki Gminy – 78 budynków (w tym w mieście 43 budynki, na wsi 35 budynków),</w:t>
      </w:r>
    </w:p>
    <w:p w:rsidR="00B7116D" w:rsidRPr="00885434" w:rsidRDefault="00B7116D" w:rsidP="00E84FFC">
      <w:pPr>
        <w:pStyle w:val="Akapitzlist"/>
        <w:numPr>
          <w:ilvl w:val="0"/>
          <w:numId w:val="6"/>
        </w:numPr>
        <w:spacing w:line="276" w:lineRule="auto"/>
        <w:jc w:val="both"/>
        <w:rPr>
          <w:rFonts w:asciiTheme="minorHAnsi" w:hAnsiTheme="minorHAnsi"/>
          <w:sz w:val="22"/>
        </w:rPr>
      </w:pPr>
      <w:r w:rsidRPr="00885434">
        <w:rPr>
          <w:rFonts w:asciiTheme="minorHAnsi" w:hAnsiTheme="minorHAnsi"/>
          <w:sz w:val="22"/>
        </w:rPr>
        <w:t xml:space="preserve">budynki wspólnot mieszkaniowych z lokalami Gminy – 18 budynków (w tym w mieście </w:t>
      </w:r>
      <w:r w:rsidR="00A44474">
        <w:rPr>
          <w:rFonts w:asciiTheme="minorHAnsi" w:hAnsiTheme="minorHAnsi"/>
          <w:sz w:val="22"/>
        </w:rPr>
        <w:br/>
      </w:r>
      <w:r w:rsidRPr="00885434">
        <w:rPr>
          <w:rFonts w:asciiTheme="minorHAnsi" w:hAnsiTheme="minorHAnsi"/>
          <w:sz w:val="22"/>
        </w:rPr>
        <w:t>15 budynków, na wsi 3 budynki),</w:t>
      </w:r>
    </w:p>
    <w:p w:rsidR="00B7116D" w:rsidRPr="00885434" w:rsidRDefault="006F620E" w:rsidP="0055791C">
      <w:pPr>
        <w:spacing w:after="0"/>
        <w:jc w:val="both"/>
      </w:pPr>
      <w:r w:rsidRPr="006F620E">
        <w:t>Z uwagi na wiek, budynki te można podzielić na 3 grupy</w:t>
      </w:r>
      <w:r w:rsidR="00B7116D" w:rsidRPr="00885434">
        <w:t>:</w:t>
      </w:r>
    </w:p>
    <w:p w:rsidR="00B7116D" w:rsidRPr="00885434" w:rsidRDefault="00B7116D" w:rsidP="00E84FFC">
      <w:pPr>
        <w:pStyle w:val="Akapitzlist"/>
        <w:numPr>
          <w:ilvl w:val="0"/>
          <w:numId w:val="7"/>
        </w:numPr>
        <w:spacing w:line="276" w:lineRule="auto"/>
        <w:jc w:val="both"/>
        <w:rPr>
          <w:rFonts w:asciiTheme="minorHAnsi" w:hAnsiTheme="minorHAnsi"/>
          <w:sz w:val="22"/>
        </w:rPr>
      </w:pPr>
      <w:r w:rsidRPr="00885434">
        <w:rPr>
          <w:rFonts w:asciiTheme="minorHAnsi" w:hAnsiTheme="minorHAnsi"/>
          <w:sz w:val="22"/>
        </w:rPr>
        <w:t>wybudowane przed 1919 r.- 29 budynków, co stanowi 38% zasobów,</w:t>
      </w:r>
    </w:p>
    <w:p w:rsidR="00B7116D" w:rsidRPr="00885434" w:rsidRDefault="00B7116D" w:rsidP="00E84FFC">
      <w:pPr>
        <w:pStyle w:val="Akapitzlist"/>
        <w:numPr>
          <w:ilvl w:val="0"/>
          <w:numId w:val="7"/>
        </w:numPr>
        <w:spacing w:line="276" w:lineRule="auto"/>
        <w:jc w:val="both"/>
        <w:rPr>
          <w:rFonts w:asciiTheme="minorHAnsi" w:hAnsiTheme="minorHAnsi"/>
          <w:sz w:val="22"/>
        </w:rPr>
      </w:pPr>
      <w:r w:rsidRPr="00885434">
        <w:rPr>
          <w:rFonts w:asciiTheme="minorHAnsi" w:hAnsiTheme="minorHAnsi"/>
          <w:sz w:val="22"/>
        </w:rPr>
        <w:t>wybudowane w latach 1919-1945- 33 budynki, co stanowi 42%,</w:t>
      </w:r>
    </w:p>
    <w:p w:rsidR="00B7116D" w:rsidRPr="00885434" w:rsidRDefault="00B7116D" w:rsidP="00E84FFC">
      <w:pPr>
        <w:pStyle w:val="Akapitzlist"/>
        <w:numPr>
          <w:ilvl w:val="0"/>
          <w:numId w:val="7"/>
        </w:numPr>
        <w:spacing w:line="276" w:lineRule="auto"/>
        <w:jc w:val="both"/>
        <w:rPr>
          <w:rFonts w:asciiTheme="minorHAnsi" w:hAnsiTheme="minorHAnsi"/>
          <w:sz w:val="22"/>
        </w:rPr>
      </w:pPr>
      <w:r w:rsidRPr="00885434">
        <w:rPr>
          <w:rFonts w:asciiTheme="minorHAnsi" w:hAnsiTheme="minorHAnsi"/>
          <w:sz w:val="22"/>
        </w:rPr>
        <w:t>wybudowane po 1945 roku – 16 budynków, co stanowi 20%,</w:t>
      </w:r>
    </w:p>
    <w:p w:rsidR="00B7116D" w:rsidRPr="00885434" w:rsidRDefault="00B7116D" w:rsidP="0055791C">
      <w:pPr>
        <w:spacing w:after="0"/>
        <w:jc w:val="both"/>
      </w:pPr>
      <w:r w:rsidRPr="00885434">
        <w:t>Z ogólnej liczby 78 budynków, 52 to budynki zabytkowe (II połowa XIX w. i II połowa XX w.)</w:t>
      </w:r>
    </w:p>
    <w:p w:rsidR="00B7116D" w:rsidRPr="00885434" w:rsidRDefault="00B7116D" w:rsidP="00E84FFC">
      <w:pPr>
        <w:pStyle w:val="Akapitzlist"/>
        <w:numPr>
          <w:ilvl w:val="0"/>
          <w:numId w:val="8"/>
        </w:numPr>
        <w:spacing w:line="276" w:lineRule="auto"/>
        <w:jc w:val="both"/>
        <w:rPr>
          <w:rFonts w:asciiTheme="minorHAnsi" w:hAnsiTheme="minorHAnsi"/>
          <w:sz w:val="22"/>
        </w:rPr>
      </w:pPr>
      <w:r w:rsidRPr="00885434">
        <w:rPr>
          <w:rFonts w:asciiTheme="minorHAnsi" w:hAnsiTheme="minorHAnsi"/>
          <w:sz w:val="22"/>
        </w:rPr>
        <w:t>rejestr zabytków – 3 budynki,</w:t>
      </w:r>
    </w:p>
    <w:p w:rsidR="00B7116D" w:rsidRPr="00885434" w:rsidRDefault="00B7116D" w:rsidP="00E84FFC">
      <w:pPr>
        <w:pStyle w:val="Akapitzlist"/>
        <w:numPr>
          <w:ilvl w:val="0"/>
          <w:numId w:val="8"/>
        </w:numPr>
        <w:spacing w:line="276" w:lineRule="auto"/>
        <w:jc w:val="both"/>
        <w:rPr>
          <w:rFonts w:asciiTheme="minorHAnsi" w:hAnsiTheme="minorHAnsi"/>
          <w:sz w:val="22"/>
        </w:rPr>
      </w:pPr>
      <w:r w:rsidRPr="00885434">
        <w:rPr>
          <w:rFonts w:asciiTheme="minorHAnsi" w:hAnsiTheme="minorHAnsi"/>
          <w:sz w:val="22"/>
        </w:rPr>
        <w:t>ewidencja zabytków 49 budynków.</w:t>
      </w:r>
    </w:p>
    <w:p w:rsidR="00896D6D" w:rsidRPr="00885434" w:rsidRDefault="00896D6D" w:rsidP="0055791C">
      <w:pPr>
        <w:spacing w:before="60" w:after="60"/>
        <w:jc w:val="both"/>
      </w:pPr>
      <w:r w:rsidRPr="00885434">
        <w:t>Wyposażenie budynków</w:t>
      </w:r>
      <w:r w:rsidR="00E1360B">
        <w:t xml:space="preserve"> Gminy</w:t>
      </w:r>
      <w:r w:rsidRPr="00885434">
        <w:t xml:space="preserve"> w instalacje techniczne ocenia się jako niewystarczające - 88% posiada wyłącznie instalacje wodno-kanalizacyjne, a 1 budynek (1,2% zasobów) pozbawiony jest jakichkolwiek instalacji. W złym stanie technicznym znajduje się 10% budynków.</w:t>
      </w:r>
    </w:p>
    <w:p w:rsidR="00724279" w:rsidRDefault="00724279" w:rsidP="0055791C">
      <w:pPr>
        <w:spacing w:before="60" w:after="60"/>
        <w:jc w:val="both"/>
      </w:pPr>
      <w:r w:rsidRPr="00885434">
        <w:t>Według stanu na dzień 1 stycznia 2011 r. w skład mieszkaniowego zasobu Gminy Pobiedziska wchodzą 263 lokale mieszkalne (miasto</w:t>
      </w:r>
      <w:r w:rsidR="00A44474">
        <w:t xml:space="preserve"> - 168 lokali, wieś -</w:t>
      </w:r>
      <w:r w:rsidRPr="00885434">
        <w:t xml:space="preserve"> 95 lokali), z tego: 17 to lokale socjalne </w:t>
      </w:r>
      <w:r w:rsidR="00A44474">
        <w:br/>
      </w:r>
      <w:r w:rsidRPr="00885434">
        <w:t>i 1 lokal tymczasowy</w:t>
      </w:r>
      <w:r w:rsidR="00896D6D" w:rsidRPr="00885434">
        <w:rPr>
          <w:rStyle w:val="Odwoanieprzypisudolnego"/>
        </w:rPr>
        <w:footnoteReference w:id="10"/>
      </w:r>
      <w:r w:rsidRPr="00885434">
        <w:t>.</w:t>
      </w:r>
    </w:p>
    <w:p w:rsidR="00636AE4" w:rsidRPr="00F40595" w:rsidRDefault="00636AE4" w:rsidP="0055791C">
      <w:pPr>
        <w:spacing w:before="60" w:after="60"/>
        <w:jc w:val="both"/>
        <w:rPr>
          <w:strike/>
        </w:rPr>
      </w:pPr>
      <w:r>
        <w:lastRenderedPageBreak/>
        <w:t xml:space="preserve">W roku 2008 podjęte zostały konkretne działania w celu rozpoczęcia budowy mieszkań socjalnych. Zapoznano się z funkcjonalnością mieszkań socjalnych wykonanych w technologii modułowej. </w:t>
      </w:r>
      <w:r w:rsidR="00A44474">
        <w:br/>
      </w:r>
      <w:r>
        <w:t>W 2009 roku rozpoczęto i zakończono budowę budynku socjalnego w miejsco</w:t>
      </w:r>
      <w:r w:rsidR="00E1360B">
        <w:t xml:space="preserve">wości Borówko. Powierzchnia </w:t>
      </w:r>
      <w:r>
        <w:t>budynku z ośmioma mieszkaniami socjalnymi wynosi 189.90 m</w:t>
      </w:r>
      <w:r w:rsidRPr="00636AE4">
        <w:rPr>
          <w:vertAlign w:val="superscript"/>
        </w:rPr>
        <w:t>2</w:t>
      </w:r>
      <w:r>
        <w:t>. Również w roku 2010 poddano gruntownej mod</w:t>
      </w:r>
      <w:r w:rsidR="00F40595">
        <w:t>ernizacji 11 lokali socjalnych.</w:t>
      </w:r>
    </w:p>
    <w:p w:rsidR="001F26B1" w:rsidRPr="0055791C" w:rsidRDefault="005A247A" w:rsidP="00775C0D">
      <w:pPr>
        <w:pStyle w:val="Legenda"/>
        <w:spacing w:after="0"/>
        <w:rPr>
          <w:b w:val="0"/>
          <w:color w:val="auto"/>
          <w:sz w:val="20"/>
          <w:szCs w:val="20"/>
        </w:rPr>
      </w:pPr>
      <w:r w:rsidRPr="0055791C">
        <w:rPr>
          <w:b w:val="0"/>
          <w:color w:val="auto"/>
          <w:sz w:val="20"/>
          <w:szCs w:val="20"/>
        </w:rPr>
        <w:t xml:space="preserve">Wykres </w:t>
      </w:r>
      <w:r w:rsidR="00E07640" w:rsidRPr="0055791C">
        <w:rPr>
          <w:b w:val="0"/>
          <w:color w:val="auto"/>
          <w:sz w:val="20"/>
          <w:szCs w:val="20"/>
        </w:rPr>
        <w:fldChar w:fldCharType="begin"/>
      </w:r>
      <w:r w:rsidRPr="0055791C">
        <w:rPr>
          <w:b w:val="0"/>
          <w:color w:val="auto"/>
          <w:sz w:val="20"/>
          <w:szCs w:val="20"/>
        </w:rPr>
        <w:instrText xml:space="preserve"> SEQ Wykres \* ARABIC </w:instrText>
      </w:r>
      <w:r w:rsidR="00E07640" w:rsidRPr="0055791C">
        <w:rPr>
          <w:b w:val="0"/>
          <w:color w:val="auto"/>
          <w:sz w:val="20"/>
          <w:szCs w:val="20"/>
        </w:rPr>
        <w:fldChar w:fldCharType="separate"/>
      </w:r>
      <w:r w:rsidR="00D540D9">
        <w:rPr>
          <w:b w:val="0"/>
          <w:noProof/>
          <w:color w:val="auto"/>
          <w:sz w:val="20"/>
          <w:szCs w:val="20"/>
        </w:rPr>
        <w:t>28</w:t>
      </w:r>
      <w:r w:rsidR="00E07640" w:rsidRPr="0055791C">
        <w:rPr>
          <w:b w:val="0"/>
          <w:color w:val="auto"/>
          <w:sz w:val="20"/>
          <w:szCs w:val="20"/>
        </w:rPr>
        <w:fldChar w:fldCharType="end"/>
      </w:r>
      <w:r w:rsidRPr="0055791C">
        <w:rPr>
          <w:b w:val="0"/>
          <w:color w:val="auto"/>
          <w:sz w:val="20"/>
          <w:szCs w:val="20"/>
        </w:rPr>
        <w:t>.</w:t>
      </w:r>
    </w:p>
    <w:p w:rsidR="005A247A" w:rsidRPr="00885434" w:rsidRDefault="005A247A" w:rsidP="00775C0D">
      <w:pPr>
        <w:spacing w:after="0"/>
      </w:pPr>
      <w:r w:rsidRPr="00885434">
        <w:rPr>
          <w:noProof/>
        </w:rPr>
        <w:drawing>
          <wp:inline distT="0" distB="0" distL="0" distR="0">
            <wp:extent cx="3234513" cy="3965945"/>
            <wp:effectExtent l="0" t="0" r="0" b="0"/>
            <wp:docPr id="2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E50F7E" w:rsidRPr="00885434">
        <w:rPr>
          <w:noProof/>
          <w:sz w:val="18"/>
        </w:rPr>
        <w:t xml:space="preserve"> </w:t>
      </w:r>
      <w:r w:rsidR="00E50F7E" w:rsidRPr="00885434">
        <w:rPr>
          <w:noProof/>
        </w:rPr>
        <w:drawing>
          <wp:inline distT="0" distB="0" distL="0" distR="0">
            <wp:extent cx="2380733" cy="3965944"/>
            <wp:effectExtent l="0" t="0" r="0" b="0"/>
            <wp:docPr id="30"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83203" w:rsidRPr="0055791C" w:rsidRDefault="00783203" w:rsidP="00783203">
      <w:pPr>
        <w:rPr>
          <w:sz w:val="20"/>
          <w:szCs w:val="20"/>
        </w:rPr>
      </w:pPr>
      <w:r w:rsidRPr="0055791C">
        <w:rPr>
          <w:sz w:val="20"/>
          <w:szCs w:val="20"/>
        </w:rPr>
        <w:t>Źródło: opracowanie własne na podstawie danych GUS.</w:t>
      </w:r>
    </w:p>
    <w:p w:rsidR="008A7117" w:rsidRDefault="00DA5C2F" w:rsidP="00256F6C">
      <w:pPr>
        <w:spacing w:before="60" w:after="60"/>
        <w:jc w:val="both"/>
      </w:pPr>
      <w:r w:rsidRPr="00885434">
        <w:t xml:space="preserve">Gmina Pobiedziska plasuje się na 13 pozycji wśród gmin aglomeracji poznańskiej pod względem liczby mieszkań na 1000 </w:t>
      </w:r>
      <w:r w:rsidR="00E1798E" w:rsidRPr="00F40595">
        <w:t>osób</w:t>
      </w:r>
      <w:r w:rsidRPr="00885434">
        <w:t>.</w:t>
      </w:r>
      <w:r w:rsidR="006B5535" w:rsidRPr="00885434">
        <w:t xml:space="preserve"> Natomiast wśród analizowanych gmin miejsko-wiejskich o porównywalnej wielkości Pobiedziska zajmują trzecią pozycję.</w:t>
      </w:r>
    </w:p>
    <w:p w:rsidR="008A7117" w:rsidRPr="00885434" w:rsidRDefault="00535843">
      <w:r>
        <w:pict>
          <v:shape id="_x0000_s1040" type="#_x0000_t185" style="width:123.5pt;height:452.5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40;mso-fit-shape-to-text:t" inset="18pt,18pt,,18pt">
              <w:txbxContent>
                <w:p w:rsidR="00291CA0" w:rsidRPr="0055791C" w:rsidRDefault="00291CA0" w:rsidP="0055791C">
                  <w:pPr>
                    <w:spacing w:before="120" w:after="120"/>
                    <w:jc w:val="both"/>
                    <w:rPr>
                      <w:b/>
                      <w:i/>
                      <w:iCs/>
                      <w:color w:val="943634" w:themeColor="accent2" w:themeShade="BF"/>
                    </w:rPr>
                  </w:pPr>
                  <w:r w:rsidRPr="0055791C">
                    <w:rPr>
                      <w:b/>
                      <w:i/>
                      <w:iCs/>
                      <w:color w:val="943634" w:themeColor="accent2" w:themeShade="BF"/>
                    </w:rPr>
                    <w:t>KONKLUZJE STRATEGICZNE</w:t>
                  </w:r>
                </w:p>
                <w:p w:rsidR="00291CA0" w:rsidRPr="0055791C" w:rsidRDefault="00291CA0" w:rsidP="0055791C">
                  <w:pPr>
                    <w:spacing w:before="120" w:after="120"/>
                    <w:jc w:val="both"/>
                    <w:rPr>
                      <w:b/>
                      <w:i/>
                      <w:iCs/>
                      <w:color w:val="A6A6A6" w:themeColor="background1" w:themeShade="A6"/>
                    </w:rPr>
                  </w:pPr>
                  <w:r w:rsidRPr="0055791C">
                    <w:rPr>
                      <w:b/>
                      <w:i/>
                      <w:iCs/>
                      <w:color w:val="A6A6A6" w:themeColor="background1" w:themeShade="A6"/>
                    </w:rPr>
                    <w:t xml:space="preserve">Pobiedziska, jak wiele gmin powiatu poznańskiego, charakteryzuje się wielorakim typem zabudowy. W gminie odnotowuje się znaczny ruch budowlany. </w:t>
                  </w:r>
                  <w:r>
                    <w:rPr>
                      <w:b/>
                      <w:i/>
                      <w:iCs/>
                      <w:color w:val="A6A6A6" w:themeColor="background1" w:themeShade="A6"/>
                    </w:rPr>
                    <w:t>D</w:t>
                  </w:r>
                  <w:r w:rsidRPr="0055791C">
                    <w:rPr>
                      <w:b/>
                      <w:i/>
                      <w:iCs/>
                      <w:color w:val="A6A6A6" w:themeColor="background1" w:themeShade="A6"/>
                    </w:rPr>
                    <w:t xml:space="preserve">uże zainteresowanie budową domu w gminie Pobiedziska </w:t>
                  </w:r>
                  <w:r>
                    <w:rPr>
                      <w:b/>
                      <w:i/>
                      <w:iCs/>
                      <w:color w:val="A6A6A6" w:themeColor="background1" w:themeShade="A6"/>
                    </w:rPr>
                    <w:t>wykazuje</w:t>
                  </w:r>
                  <w:r w:rsidRPr="0055791C">
                    <w:rPr>
                      <w:b/>
                      <w:i/>
                      <w:iCs/>
                      <w:color w:val="A6A6A6" w:themeColor="background1" w:themeShade="A6"/>
                    </w:rPr>
                    <w:t xml:space="preserve"> ludność napływow</w:t>
                  </w:r>
                  <w:r>
                    <w:rPr>
                      <w:b/>
                      <w:i/>
                      <w:iCs/>
                      <w:color w:val="A6A6A6" w:themeColor="background1" w:themeShade="A6"/>
                    </w:rPr>
                    <w:t>a</w:t>
                  </w:r>
                  <w:r w:rsidRPr="0055791C">
                    <w:rPr>
                      <w:b/>
                      <w:i/>
                      <w:iCs/>
                      <w:color w:val="A6A6A6" w:themeColor="background1" w:themeShade="A6"/>
                    </w:rPr>
                    <w:t xml:space="preserve"> zamierzając</w:t>
                  </w:r>
                  <w:r>
                    <w:rPr>
                      <w:b/>
                      <w:i/>
                      <w:iCs/>
                      <w:color w:val="A6A6A6" w:themeColor="background1" w:themeShade="A6"/>
                    </w:rPr>
                    <w:t>a</w:t>
                  </w:r>
                  <w:r w:rsidRPr="0055791C">
                    <w:rPr>
                      <w:b/>
                      <w:i/>
                      <w:iCs/>
                      <w:color w:val="A6A6A6" w:themeColor="background1" w:themeShade="A6"/>
                    </w:rPr>
                    <w:t xml:space="preserve"> tutaj zamieszkać.</w:t>
                  </w:r>
                </w:p>
              </w:txbxContent>
            </v:textbox>
            <w10:wrap type="none" anchorx="margin" anchory="margin"/>
            <w10:anchorlock/>
          </v:shape>
        </w:pict>
      </w:r>
    </w:p>
    <w:p w:rsidR="009A7ABC" w:rsidRPr="00885434" w:rsidRDefault="00927DA9" w:rsidP="00927DA9">
      <w:pPr>
        <w:pStyle w:val="Nagwek2"/>
        <w:ind w:left="360"/>
        <w:rPr>
          <w:rFonts w:asciiTheme="minorHAnsi" w:hAnsiTheme="minorHAnsi"/>
          <w:color w:val="943634" w:themeColor="accent2" w:themeShade="BF"/>
        </w:rPr>
      </w:pPr>
      <w:bookmarkStart w:id="19" w:name="_Toc321135336"/>
      <w:r w:rsidRPr="00885434">
        <w:rPr>
          <w:rFonts w:asciiTheme="minorHAnsi" w:hAnsiTheme="minorHAnsi"/>
          <w:color w:val="943634" w:themeColor="accent2" w:themeShade="BF"/>
        </w:rPr>
        <w:t xml:space="preserve">5.9 </w:t>
      </w:r>
      <w:r w:rsidR="009A7ABC" w:rsidRPr="00885434">
        <w:rPr>
          <w:rFonts w:asciiTheme="minorHAnsi" w:hAnsiTheme="minorHAnsi"/>
          <w:color w:val="943634" w:themeColor="accent2" w:themeShade="BF"/>
        </w:rPr>
        <w:t>Kultura</w:t>
      </w:r>
      <w:bookmarkEnd w:id="19"/>
    </w:p>
    <w:p w:rsidR="009D5061" w:rsidRDefault="00150BFF" w:rsidP="0055791C">
      <w:pPr>
        <w:spacing w:before="60" w:after="60"/>
        <w:jc w:val="both"/>
      </w:pPr>
      <w:r w:rsidRPr="00885434">
        <w:t>Ośrodek Kultury</w:t>
      </w:r>
      <w:r w:rsidR="00F534CB">
        <w:t xml:space="preserve"> w Pobiedziskach </w:t>
      </w:r>
      <w:r w:rsidRPr="00885434">
        <w:t xml:space="preserve">służy rozwijaniu i zaspokajaniu potrzeb kulturalnych mieszkańców miasta i gminy, upowszechnianiu wiedzy i rozwoju kultury, propagowaniu obrzędowości ludowej oraz obyczajów kulturalnych. Ośrodek Kultury w Pobiedziskach </w:t>
      </w:r>
      <w:r w:rsidR="00146FF8" w:rsidRPr="00F40595">
        <w:t xml:space="preserve">ma swoją siedzibę przy ul. Kostrzyńskiej </w:t>
      </w:r>
      <w:r w:rsidR="00146FF8" w:rsidRPr="00F40595">
        <w:lastRenderedPageBreak/>
        <w:t>21,</w:t>
      </w:r>
      <w:r w:rsidR="00146FF8">
        <w:t xml:space="preserve"> użytkuje również </w:t>
      </w:r>
      <w:r w:rsidRPr="00885434">
        <w:t xml:space="preserve">Skansen Miniatur, w którym znajdują się makiety wielkopolskich obiektów historycznych i współczesnych w skali 1:20. </w:t>
      </w:r>
      <w:r w:rsidR="00F531E1" w:rsidRPr="00885434">
        <w:t>Podstawową funkcją skansenu jest ukazanie struktury przestrzennej Szlaku Piastowskiego w jego dzisiejszym i częściowo historycznym kształcie oraz procesu rozwoju osadnictwa i kształtowania się państwowości polskiej.</w:t>
      </w:r>
      <w:r w:rsidR="000603A1" w:rsidRPr="00885434">
        <w:t xml:space="preserve"> </w:t>
      </w:r>
      <w:r w:rsidR="00060618" w:rsidRPr="00060618">
        <w:t>W 2010 roku na terenie Skansenu Miniatur otwarte zostało Centrum Sztuki Współczesnej. Galeria w formie oszklonego wieżowca, w której wystawiane są miniaturowe prace art</w:t>
      </w:r>
      <w:r w:rsidR="008E0B5A">
        <w:t>ystów z Polski i innych krajów.</w:t>
      </w:r>
      <w:r w:rsidR="009D5061">
        <w:t xml:space="preserve"> </w:t>
      </w:r>
      <w:r w:rsidR="009D5061" w:rsidRPr="009D5061">
        <w:t>Skansen otwarty został w maju 1998 r</w:t>
      </w:r>
      <w:r w:rsidR="009D5061">
        <w:t>. Istotnym problemem w dalszym funkcjonowaniu obiektu jest jego finansowanie. Skansen stanowi atrakcję przede wszystkim dla turystów i gości</w:t>
      </w:r>
      <w:r w:rsidR="00D8799B">
        <w:t xml:space="preserve">. W celu zwiększenia zainteresowania mieszkańców należy w parku wprowadzić dodatkowe, cykliczne atrakcje, np. </w:t>
      </w:r>
      <w:r w:rsidR="00D8799B" w:rsidRPr="00D8799B">
        <w:t>ciekawe zajęcia z historii Polski czy edukacji regionalnej</w:t>
      </w:r>
      <w:r w:rsidR="00D8799B">
        <w:t>, interesujące pokazy, wystawy itp.</w:t>
      </w:r>
      <w:r w:rsidR="006F620E">
        <w:t xml:space="preserve"> </w:t>
      </w:r>
      <w:r w:rsidR="006F620E" w:rsidRPr="006F620E">
        <w:t>W 2010 roku na terenie Skansenu Miniatur otwarte zostało Centrum Sztuki Współczesnej. Galeria w formie oszklonego wieżowca, w której wystawiane są miniaturowe prace artystów z Polski i innych krajów.</w:t>
      </w:r>
    </w:p>
    <w:p w:rsidR="000603A1" w:rsidRPr="00885434" w:rsidRDefault="000603A1" w:rsidP="009D5061">
      <w:pPr>
        <w:spacing w:before="60" w:after="0"/>
        <w:jc w:val="both"/>
      </w:pPr>
      <w:r w:rsidRPr="00885434">
        <w:t>Przy Ośrodku Kultury działają:</w:t>
      </w:r>
    </w:p>
    <w:p w:rsidR="000603A1" w:rsidRPr="00885434" w:rsidRDefault="000603A1" w:rsidP="00E84FFC">
      <w:pPr>
        <w:pStyle w:val="Akapitzlist"/>
        <w:numPr>
          <w:ilvl w:val="0"/>
          <w:numId w:val="5"/>
        </w:numPr>
        <w:spacing w:line="276" w:lineRule="auto"/>
        <w:rPr>
          <w:rFonts w:asciiTheme="minorHAnsi" w:hAnsiTheme="minorHAnsi"/>
          <w:sz w:val="22"/>
          <w:szCs w:val="22"/>
        </w:rPr>
      </w:pPr>
      <w:r w:rsidRPr="00885434">
        <w:rPr>
          <w:rFonts w:asciiTheme="minorHAnsi" w:hAnsiTheme="minorHAnsi"/>
          <w:sz w:val="22"/>
          <w:szCs w:val="22"/>
        </w:rPr>
        <w:t>Zespół Pieśni i Tańca „Wiwaty”,</w:t>
      </w:r>
    </w:p>
    <w:p w:rsidR="000603A1" w:rsidRPr="00885434" w:rsidRDefault="000603A1" w:rsidP="00E84FFC">
      <w:pPr>
        <w:pStyle w:val="Akapitzlist"/>
        <w:numPr>
          <w:ilvl w:val="0"/>
          <w:numId w:val="5"/>
        </w:numPr>
        <w:spacing w:line="276" w:lineRule="auto"/>
        <w:rPr>
          <w:rFonts w:asciiTheme="minorHAnsi" w:hAnsiTheme="minorHAnsi"/>
          <w:sz w:val="22"/>
          <w:szCs w:val="22"/>
        </w:rPr>
      </w:pPr>
      <w:r w:rsidRPr="00885434">
        <w:rPr>
          <w:rFonts w:asciiTheme="minorHAnsi" w:hAnsiTheme="minorHAnsi"/>
          <w:sz w:val="22"/>
          <w:szCs w:val="22"/>
        </w:rPr>
        <w:t>Studio Piosenki,</w:t>
      </w:r>
    </w:p>
    <w:p w:rsidR="000603A1" w:rsidRPr="00885434" w:rsidRDefault="000603A1" w:rsidP="00E84FFC">
      <w:pPr>
        <w:pStyle w:val="Akapitzlist"/>
        <w:numPr>
          <w:ilvl w:val="0"/>
          <w:numId w:val="5"/>
        </w:numPr>
        <w:spacing w:line="276" w:lineRule="auto"/>
        <w:rPr>
          <w:rFonts w:asciiTheme="minorHAnsi" w:hAnsiTheme="minorHAnsi"/>
          <w:sz w:val="22"/>
          <w:szCs w:val="22"/>
        </w:rPr>
      </w:pPr>
      <w:r w:rsidRPr="00885434">
        <w:rPr>
          <w:rFonts w:asciiTheme="minorHAnsi" w:hAnsiTheme="minorHAnsi"/>
          <w:sz w:val="22"/>
          <w:szCs w:val="22"/>
        </w:rPr>
        <w:t>Teatr Ruchu,</w:t>
      </w:r>
    </w:p>
    <w:p w:rsidR="000603A1" w:rsidRPr="00885434" w:rsidRDefault="000603A1" w:rsidP="00E84FFC">
      <w:pPr>
        <w:pStyle w:val="Akapitzlist"/>
        <w:numPr>
          <w:ilvl w:val="0"/>
          <w:numId w:val="5"/>
        </w:numPr>
        <w:spacing w:line="276" w:lineRule="auto"/>
        <w:rPr>
          <w:rFonts w:asciiTheme="minorHAnsi" w:hAnsiTheme="minorHAnsi"/>
          <w:sz w:val="22"/>
          <w:szCs w:val="22"/>
        </w:rPr>
      </w:pPr>
      <w:r w:rsidRPr="00885434">
        <w:rPr>
          <w:rFonts w:asciiTheme="minorHAnsi" w:hAnsiTheme="minorHAnsi"/>
          <w:sz w:val="22"/>
          <w:szCs w:val="22"/>
        </w:rPr>
        <w:t>Orkiestra Dęta,</w:t>
      </w:r>
    </w:p>
    <w:p w:rsidR="000603A1" w:rsidRPr="00885434" w:rsidRDefault="000603A1" w:rsidP="00E84FFC">
      <w:pPr>
        <w:pStyle w:val="Akapitzlist"/>
        <w:numPr>
          <w:ilvl w:val="0"/>
          <w:numId w:val="5"/>
        </w:numPr>
        <w:spacing w:line="276" w:lineRule="auto"/>
        <w:rPr>
          <w:rFonts w:asciiTheme="minorHAnsi" w:hAnsiTheme="minorHAnsi"/>
          <w:sz w:val="22"/>
          <w:szCs w:val="22"/>
        </w:rPr>
      </w:pPr>
      <w:r w:rsidRPr="00885434">
        <w:rPr>
          <w:rFonts w:asciiTheme="minorHAnsi" w:hAnsiTheme="minorHAnsi"/>
          <w:sz w:val="22"/>
          <w:szCs w:val="22"/>
        </w:rPr>
        <w:t>Chór „Melodia”,</w:t>
      </w:r>
    </w:p>
    <w:p w:rsidR="000603A1" w:rsidRPr="00885434" w:rsidRDefault="000603A1" w:rsidP="00E84FFC">
      <w:pPr>
        <w:pStyle w:val="Akapitzlist"/>
        <w:numPr>
          <w:ilvl w:val="0"/>
          <w:numId w:val="5"/>
        </w:numPr>
        <w:spacing w:line="276" w:lineRule="auto"/>
        <w:rPr>
          <w:rFonts w:asciiTheme="minorHAnsi" w:hAnsiTheme="minorHAnsi"/>
          <w:sz w:val="22"/>
          <w:szCs w:val="22"/>
        </w:rPr>
      </w:pPr>
      <w:r w:rsidRPr="00885434">
        <w:rPr>
          <w:rFonts w:asciiTheme="minorHAnsi" w:hAnsiTheme="minorHAnsi"/>
          <w:sz w:val="22"/>
          <w:szCs w:val="22"/>
        </w:rPr>
        <w:t>Klub Emerytów i Rencistów „Złota Jesień”,</w:t>
      </w:r>
    </w:p>
    <w:p w:rsidR="000603A1" w:rsidRPr="00885434" w:rsidRDefault="000603A1" w:rsidP="00E84FFC">
      <w:pPr>
        <w:pStyle w:val="Akapitzlist"/>
        <w:numPr>
          <w:ilvl w:val="0"/>
          <w:numId w:val="5"/>
        </w:numPr>
        <w:spacing w:line="276" w:lineRule="auto"/>
        <w:rPr>
          <w:rFonts w:asciiTheme="minorHAnsi" w:hAnsiTheme="minorHAnsi"/>
          <w:sz w:val="22"/>
          <w:szCs w:val="22"/>
        </w:rPr>
      </w:pPr>
      <w:r w:rsidRPr="00885434">
        <w:rPr>
          <w:rFonts w:asciiTheme="minorHAnsi" w:hAnsiTheme="minorHAnsi"/>
          <w:sz w:val="22"/>
          <w:szCs w:val="22"/>
        </w:rPr>
        <w:t>Klub Plastyka Amatora.</w:t>
      </w:r>
    </w:p>
    <w:p w:rsidR="00F91C2F" w:rsidRPr="00885434" w:rsidRDefault="00F534CB" w:rsidP="0055791C">
      <w:pPr>
        <w:spacing w:before="60" w:after="60"/>
        <w:jc w:val="both"/>
      </w:pPr>
      <w:r>
        <w:t xml:space="preserve">Ośrodek Kultury </w:t>
      </w:r>
      <w:r>
        <w:rPr>
          <w:bCs/>
        </w:rPr>
        <w:t>współpracuje</w:t>
      </w:r>
      <w:r>
        <w:t xml:space="preserve"> z innymi instytucjami ku</w:t>
      </w:r>
      <w:r w:rsidR="006F620E">
        <w:t>ltury i placówkami oświatowymi.</w:t>
      </w:r>
    </w:p>
    <w:p w:rsidR="000603A1" w:rsidRPr="00885434" w:rsidRDefault="00150BFF" w:rsidP="0055791C">
      <w:pPr>
        <w:spacing w:before="60" w:after="60"/>
        <w:jc w:val="both"/>
      </w:pPr>
      <w:r w:rsidRPr="00885434">
        <w:t xml:space="preserve">Propagowaniem czytelnictwa zajmuje się </w:t>
      </w:r>
      <w:r w:rsidR="000603A1" w:rsidRPr="00885434">
        <w:t>Biblioteka Publiczna w Pobiedziskach, która powstała pod koniec 1948 roku. Sieć bibliotek w gminie stanowi obecnie pięć placówek bibliotecznych: dla dorosłych</w:t>
      </w:r>
      <w:r w:rsidR="00A44474">
        <w:t xml:space="preserve"> oraz dla</w:t>
      </w:r>
      <w:r w:rsidR="000603A1" w:rsidRPr="00885434">
        <w:t xml:space="preserve"> dzieci i młodzieży w Pobiedziskach</w:t>
      </w:r>
      <w:r w:rsidR="00A44474">
        <w:t>, a także</w:t>
      </w:r>
      <w:r w:rsidR="000603A1" w:rsidRPr="00885434">
        <w:t xml:space="preserve"> Filie w Biskupicach, Pobiedziskach - Letnisku i w Pomarzanowicach.</w:t>
      </w:r>
    </w:p>
    <w:p w:rsidR="00DA1B79" w:rsidRDefault="00DA1B79" w:rsidP="0055791C">
      <w:pPr>
        <w:spacing w:before="60" w:after="60"/>
        <w:jc w:val="both"/>
      </w:pPr>
      <w:r w:rsidRPr="00F40595">
        <w:t xml:space="preserve">W </w:t>
      </w:r>
      <w:r w:rsidR="00E56B38" w:rsidRPr="00F40595">
        <w:t xml:space="preserve">roku </w:t>
      </w:r>
      <w:r w:rsidR="00F40595">
        <w:t>2010</w:t>
      </w:r>
      <w:r w:rsidRPr="00F40595">
        <w:t xml:space="preserve"> z bibliotek </w:t>
      </w:r>
      <w:r w:rsidR="00E56B38" w:rsidRPr="00F40595">
        <w:t>korzystało</w:t>
      </w:r>
      <w:r w:rsidR="00E56B38" w:rsidRPr="00885434">
        <w:t xml:space="preserve"> </w:t>
      </w:r>
      <w:r w:rsidRPr="00885434">
        <w:t xml:space="preserve">ponad 3,5 tys. czytelników, którzy wypożyczyli ponad 76 tys. woluminów. Na jedną placówkę biblioteczną przypadało ponad 4,4 tys. mieszkańców gminy. </w:t>
      </w:r>
      <w:r w:rsidR="00134DBA" w:rsidRPr="00885434">
        <w:t xml:space="preserve">Biblioteki dysponują łącznie księgozbiorem ponad 52,9 tys. woluminów, składającym się </w:t>
      </w:r>
      <w:r w:rsidR="00A44474">
        <w:br/>
      </w:r>
      <w:r w:rsidR="00134DBA" w:rsidRPr="00885434">
        <w:t xml:space="preserve">z beletrystyki, książek popularnonaukowych, encyklopedii, poradników, oraz literatury dla dzieci. </w:t>
      </w:r>
      <w:r w:rsidRPr="00885434">
        <w:t>Wśród analizowanych gmin Aglomeracji Poznańskiej i wybranych gmin miejsko-wiejskich Pobiedziska zajmują wysoką pozycję pod względem wskaźnika czytelnicy bibliotek publicznych na 1000 ludności.</w:t>
      </w:r>
    </w:p>
    <w:p w:rsidR="00872900" w:rsidRDefault="00872900">
      <w:r>
        <w:rPr>
          <w:b/>
          <w:bCs/>
        </w:rPr>
        <w:br w:type="page"/>
      </w:r>
    </w:p>
    <w:p w:rsidR="005E47EE" w:rsidRPr="0055791C" w:rsidRDefault="005E47EE" w:rsidP="005E47EE">
      <w:pPr>
        <w:pStyle w:val="Legenda"/>
        <w:spacing w:after="0"/>
        <w:rPr>
          <w:b w:val="0"/>
          <w:color w:val="auto"/>
          <w:sz w:val="20"/>
          <w:szCs w:val="20"/>
        </w:rPr>
      </w:pPr>
      <w:r w:rsidRPr="0055791C">
        <w:rPr>
          <w:b w:val="0"/>
          <w:color w:val="auto"/>
          <w:sz w:val="20"/>
          <w:szCs w:val="20"/>
        </w:rPr>
        <w:lastRenderedPageBreak/>
        <w:t xml:space="preserve">Wykres </w:t>
      </w:r>
      <w:r w:rsidR="00E07640" w:rsidRPr="0055791C">
        <w:rPr>
          <w:b w:val="0"/>
          <w:color w:val="auto"/>
          <w:sz w:val="20"/>
          <w:szCs w:val="20"/>
        </w:rPr>
        <w:fldChar w:fldCharType="begin"/>
      </w:r>
      <w:r w:rsidRPr="0055791C">
        <w:rPr>
          <w:b w:val="0"/>
          <w:color w:val="auto"/>
          <w:sz w:val="20"/>
          <w:szCs w:val="20"/>
        </w:rPr>
        <w:instrText xml:space="preserve"> SEQ Wykres \* ARABIC </w:instrText>
      </w:r>
      <w:r w:rsidR="00E07640" w:rsidRPr="0055791C">
        <w:rPr>
          <w:b w:val="0"/>
          <w:color w:val="auto"/>
          <w:sz w:val="20"/>
          <w:szCs w:val="20"/>
        </w:rPr>
        <w:fldChar w:fldCharType="separate"/>
      </w:r>
      <w:r w:rsidR="00D540D9">
        <w:rPr>
          <w:b w:val="0"/>
          <w:noProof/>
          <w:color w:val="auto"/>
          <w:sz w:val="20"/>
          <w:szCs w:val="20"/>
        </w:rPr>
        <w:t>29</w:t>
      </w:r>
      <w:r w:rsidR="00E07640" w:rsidRPr="0055791C">
        <w:rPr>
          <w:b w:val="0"/>
          <w:color w:val="auto"/>
          <w:sz w:val="20"/>
          <w:szCs w:val="20"/>
        </w:rPr>
        <w:fldChar w:fldCharType="end"/>
      </w:r>
      <w:r w:rsidRPr="0055791C">
        <w:rPr>
          <w:b w:val="0"/>
          <w:color w:val="auto"/>
          <w:sz w:val="20"/>
          <w:szCs w:val="20"/>
        </w:rPr>
        <w:t>.</w:t>
      </w:r>
    </w:p>
    <w:p w:rsidR="000603A1" w:rsidRPr="00885434" w:rsidRDefault="00EE6947" w:rsidP="005E47EE">
      <w:pPr>
        <w:spacing w:after="0"/>
        <w:jc w:val="both"/>
      </w:pPr>
      <w:r w:rsidRPr="00885434">
        <w:rPr>
          <w:noProof/>
        </w:rPr>
        <w:drawing>
          <wp:inline distT="0" distB="0" distL="0" distR="0">
            <wp:extent cx="2958067" cy="4518837"/>
            <wp:effectExtent l="0" t="0" r="0" b="0"/>
            <wp:docPr id="3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F40595">
        <w:rPr>
          <w:noProof/>
        </w:rPr>
        <w:t xml:space="preserve"> </w:t>
      </w:r>
      <w:r w:rsidR="00F40595" w:rsidRPr="00F40595">
        <w:rPr>
          <w:noProof/>
        </w:rPr>
        <w:drawing>
          <wp:inline distT="0" distB="0" distL="0" distR="0">
            <wp:extent cx="2670987" cy="4518837"/>
            <wp:effectExtent l="0" t="0" r="0" b="0"/>
            <wp:docPr id="2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E47EE" w:rsidRPr="0055791C" w:rsidRDefault="005E47EE" w:rsidP="005E47EE">
      <w:pPr>
        <w:spacing w:after="0"/>
        <w:jc w:val="both"/>
        <w:rPr>
          <w:sz w:val="20"/>
          <w:szCs w:val="20"/>
        </w:rPr>
      </w:pPr>
      <w:r w:rsidRPr="0055791C">
        <w:rPr>
          <w:sz w:val="20"/>
          <w:szCs w:val="20"/>
        </w:rPr>
        <w:t>Źródło: opracowanie własne na podstawie danych GUS.</w:t>
      </w:r>
    </w:p>
    <w:p w:rsidR="00B57B66" w:rsidRPr="00885434" w:rsidRDefault="00B57B66" w:rsidP="0055791C">
      <w:pPr>
        <w:spacing w:before="60" w:after="60"/>
        <w:jc w:val="both"/>
      </w:pPr>
      <w:r w:rsidRPr="00885434">
        <w:t xml:space="preserve">Biblioteka </w:t>
      </w:r>
      <w:r w:rsidR="000D447A" w:rsidRPr="00F40595">
        <w:t xml:space="preserve">Publiczna </w:t>
      </w:r>
      <w:r w:rsidRPr="00F40595">
        <w:t xml:space="preserve">prowadzi także Kluby, których oferta skierowana </w:t>
      </w:r>
      <w:r w:rsidR="00A44474">
        <w:t>jest do</w:t>
      </w:r>
      <w:r w:rsidR="000D447A" w:rsidRPr="00F40595">
        <w:t xml:space="preserve"> mieszkańców Gminy Pobiedziska. S</w:t>
      </w:r>
      <w:r w:rsidRPr="00F40595">
        <w:t>potkania odbywają się w siedzibach bibliotek lub w salach szkolnych.</w:t>
      </w:r>
      <w:r w:rsidRPr="00885434">
        <w:t xml:space="preserve"> Jest to działalność środowiskowa mająca na celu integrację mieszkańców. Spotkania mają charakter tematycznych prelekcji, wieczorów autorskich oraz mniej formalnych rozmów przy kawie. Najdłużej, bo od 2000</w:t>
      </w:r>
      <w:r w:rsidR="007C4747">
        <w:t> </w:t>
      </w:r>
      <w:r w:rsidRPr="00885434">
        <w:t>r.</w:t>
      </w:r>
      <w:r w:rsidR="000D447A">
        <w:t xml:space="preserve"> </w:t>
      </w:r>
      <w:r w:rsidRPr="00885434">
        <w:t>działa Klub Seniora w Pomarzanowicach, w lutym 2007 roku powstał Klub Seniora Pobiedziska Letnisko, w kwietniu 2008</w:t>
      </w:r>
      <w:r w:rsidR="007C4747">
        <w:t xml:space="preserve"> r.</w:t>
      </w:r>
      <w:r w:rsidRPr="00885434">
        <w:t xml:space="preserve"> Klub Seniora w Biskupicach. Od tego czasu </w:t>
      </w:r>
      <w:r w:rsidR="000D447A" w:rsidRPr="00F40595">
        <w:t>Biblioteka objęła również</w:t>
      </w:r>
      <w:r w:rsidR="000D447A">
        <w:rPr>
          <w:color w:val="FF0000"/>
        </w:rPr>
        <w:t xml:space="preserve"> </w:t>
      </w:r>
      <w:r w:rsidRPr="00885434">
        <w:t>opieką formalną, powstały z inicjatywy mieszkańców, Klub Seniora "Wrzosy" w Jerzykowie.</w:t>
      </w:r>
    </w:p>
    <w:p w:rsidR="00663030" w:rsidRDefault="00196283" w:rsidP="0055791C">
      <w:pPr>
        <w:spacing w:before="60" w:after="60"/>
        <w:jc w:val="both"/>
      </w:pPr>
      <w:r w:rsidRPr="00885434">
        <w:t>Na terenie miasta i gminy występują obiekty zabytkowe o charakterze sakralnym, grodziska wczesnośredniowieczne, dwory i pałace, osada kultury przeworskiej, zabytkowe cmentarze oraz liczne parki.</w:t>
      </w:r>
    </w:p>
    <w:p w:rsidR="00663030" w:rsidRDefault="00DD022A" w:rsidP="0055791C">
      <w:pPr>
        <w:spacing w:before="60" w:after="60"/>
        <w:jc w:val="both"/>
      </w:pPr>
      <w:r w:rsidRPr="00DD022A">
        <w:t>Najcenniejszym zabytkiem Pobiedzisk jest Kościół p.w. Św. Michała Archanioła należący do najstarszych kościołów gotyckich w Wielkopolsce.</w:t>
      </w:r>
      <w:r>
        <w:t xml:space="preserve"> </w:t>
      </w:r>
      <w:r w:rsidRPr="00DD022A">
        <w:t>W klasycystycznym ołtarzu głównym z początku XIX w znajduje się obraz św. Michała Archanioła z 1621 r</w:t>
      </w:r>
      <w:r>
        <w:t>.</w:t>
      </w:r>
    </w:p>
    <w:p w:rsidR="00663030" w:rsidRDefault="00DD022A" w:rsidP="0055791C">
      <w:pPr>
        <w:spacing w:before="60" w:after="60"/>
        <w:jc w:val="both"/>
      </w:pPr>
      <w:r w:rsidRPr="00DD022A">
        <w:t>Do zabytków zaliczana jest także zabudowa rynku miejskiego pochodząca z XIX-tego w.</w:t>
      </w:r>
    </w:p>
    <w:p w:rsidR="00196283" w:rsidRDefault="00DD022A" w:rsidP="0055791C">
      <w:pPr>
        <w:spacing w:before="60" w:after="60"/>
        <w:jc w:val="both"/>
      </w:pPr>
      <w:r w:rsidRPr="00DD022A">
        <w:t>Kościół p.w. Św. Katarzyny w Węglewie</w:t>
      </w:r>
      <w:r>
        <w:t xml:space="preserve"> powstał</w:t>
      </w:r>
      <w:r w:rsidRPr="00DD022A">
        <w:t xml:space="preserve"> w 1818 r. i jest przykładem drewnianego budown</w:t>
      </w:r>
      <w:r w:rsidR="0079765C">
        <w:t xml:space="preserve">ictwa sakralnego – jest jednym z obiektów na </w:t>
      </w:r>
      <w:r w:rsidR="0079765C" w:rsidRPr="0079765C">
        <w:t>„Szlak</w:t>
      </w:r>
      <w:r w:rsidR="0079765C">
        <w:t>u</w:t>
      </w:r>
      <w:r w:rsidR="0079765C" w:rsidRPr="0079765C">
        <w:t xml:space="preserve"> kościołów drewnianych wokół Puszczy Zielonka”</w:t>
      </w:r>
      <w:r w:rsidR="0079765C">
        <w:t>.</w:t>
      </w:r>
    </w:p>
    <w:p w:rsidR="0079765C" w:rsidRDefault="0079765C" w:rsidP="0055791C">
      <w:pPr>
        <w:spacing w:before="60" w:after="60"/>
        <w:jc w:val="both"/>
      </w:pPr>
      <w:r w:rsidRPr="0079765C">
        <w:t>Neogotycki Pałac w Krześlicach</w:t>
      </w:r>
      <w:r>
        <w:t xml:space="preserve"> </w:t>
      </w:r>
      <w:r w:rsidRPr="0079765C">
        <w:t>został zbudowany w 1877-80 r.</w:t>
      </w:r>
      <w:r w:rsidR="00663030">
        <w:t>, jest otoczony parkiem o powierzchni 5 ha.</w:t>
      </w:r>
      <w:r>
        <w:t xml:space="preserve"> </w:t>
      </w:r>
      <w:r w:rsidRPr="0079765C">
        <w:t>Pałac w stanie bardzo dobrym, po gruntownym remoncie stanowi własność prywatną.</w:t>
      </w:r>
      <w:r w:rsidR="00663030">
        <w:t xml:space="preserve"> </w:t>
      </w:r>
      <w:r w:rsidR="00663030" w:rsidRPr="00663030">
        <w:t xml:space="preserve">Zespół </w:t>
      </w:r>
      <w:r w:rsidR="00663030" w:rsidRPr="00663030">
        <w:lastRenderedPageBreak/>
        <w:t>pałacowo-parkowy uzupełniają stylizowany budynek gospodarczy z połowy lat 90-tych XX w., parterowy budynek gospodarczy, jednostronnie oszklony oraz mała architektura</w:t>
      </w:r>
      <w:r w:rsidR="00663030">
        <w:t>.</w:t>
      </w:r>
    </w:p>
    <w:p w:rsidR="0079765C" w:rsidRDefault="0079765C" w:rsidP="0055791C">
      <w:pPr>
        <w:spacing w:before="60" w:after="60"/>
        <w:jc w:val="both"/>
      </w:pPr>
      <w:r w:rsidRPr="0079765C">
        <w:t>Pałac - willa neobarokowa w Pomarzanowicach</w:t>
      </w:r>
      <w:r>
        <w:t xml:space="preserve"> odnowiony w 1985 r. j</w:t>
      </w:r>
      <w:r w:rsidRPr="0079765C">
        <w:t>est siedzibą Spółdzielni Rolnej. W pałacu działa Salon Artystyczny im. Jackowskich (od 1995 r.) nawiązujący do tradycji salonu z okresu międzywojennego</w:t>
      </w:r>
      <w:r>
        <w:t xml:space="preserve">. </w:t>
      </w:r>
      <w:r w:rsidRPr="0079765C">
        <w:t>Obiekt otoczony jest parkiem wiejskim o powierzchni 4 ha.</w:t>
      </w:r>
    </w:p>
    <w:p w:rsidR="0079765C" w:rsidRPr="00885434" w:rsidRDefault="0079765C" w:rsidP="0055791C">
      <w:pPr>
        <w:spacing w:before="60" w:after="60"/>
        <w:jc w:val="both"/>
      </w:pPr>
      <w:r w:rsidRPr="0079765C">
        <w:t>We Wronczynie na szczególną uwagę zasługują:</w:t>
      </w:r>
      <w:r>
        <w:t xml:space="preserve"> </w:t>
      </w:r>
      <w:r w:rsidRPr="0079765C">
        <w:t>Dworek z przełomu XIX i XX wieku</w:t>
      </w:r>
      <w:r>
        <w:t xml:space="preserve">, drewniana dzwonnica, która powstała w 1762 r., </w:t>
      </w:r>
      <w:r w:rsidRPr="0079765C">
        <w:t>Cmentarz przy kościele pod wezw. św. Stanisława Biskupa Męczennika, na którym znajdują się groby zasłużonych Wielkopolan</w:t>
      </w:r>
      <w:r>
        <w:t>.</w:t>
      </w:r>
    </w:p>
    <w:p w:rsidR="00196283" w:rsidRPr="00885434" w:rsidRDefault="00134DBA" w:rsidP="0055791C">
      <w:pPr>
        <w:spacing w:before="60" w:after="60"/>
        <w:jc w:val="both"/>
      </w:pPr>
      <w:r w:rsidRPr="00885434">
        <w:t xml:space="preserve">Miasto i gmina Pobiedziska w stosunku do innych regionów województwa wielkopolskiego posiada niewiele zabytków nieruchomych dawnej architektury wpisanych do rejestru zabytków, który zawiera 26 pozycji, w tym zespoły zabytkowe, a także w obrębie Latalic „otoczenie zabytku wyspy Ostrów </w:t>
      </w:r>
      <w:r w:rsidR="00833F34">
        <w:t>Lednicki”</w:t>
      </w:r>
      <w:r w:rsidRPr="00885434">
        <w:t xml:space="preserve"> (wg stanu na dzień 30.06.2010 r.)</w:t>
      </w:r>
      <w:r w:rsidR="00833F34">
        <w:t>.</w:t>
      </w:r>
      <w:r w:rsidRPr="00885434">
        <w:t xml:space="preserve"> O wiele szersza jest lista obiektów ujętych w ewidencji </w:t>
      </w:r>
      <w:r w:rsidR="00254B0B" w:rsidRPr="00885434">
        <w:t>zabytków</w:t>
      </w:r>
      <w:r w:rsidRPr="00885434">
        <w:t xml:space="preserve"> obejmująca 3</w:t>
      </w:r>
      <w:r w:rsidR="00FB7BE7" w:rsidRPr="00885434">
        <w:t>91</w:t>
      </w:r>
      <w:r w:rsidRPr="00885434">
        <w:t xml:space="preserve"> pozycji, w</w:t>
      </w:r>
      <w:r w:rsidR="00E06299" w:rsidRPr="00885434">
        <w:t xml:space="preserve"> tym również zespoły zabytkowe</w:t>
      </w:r>
      <w:r w:rsidR="00E06299" w:rsidRPr="00885434">
        <w:rPr>
          <w:rStyle w:val="Odwoanieprzypisudolnego"/>
        </w:rPr>
        <w:footnoteReference w:id="11"/>
      </w:r>
      <w:r w:rsidR="00E06299" w:rsidRPr="00885434">
        <w:t>.</w:t>
      </w:r>
    </w:p>
    <w:p w:rsidR="00DD6AB1" w:rsidRDefault="009216D3" w:rsidP="0055791C">
      <w:pPr>
        <w:spacing w:before="60" w:after="60"/>
        <w:jc w:val="both"/>
      </w:pPr>
      <w:r>
        <w:t>W trakcie realizacji jest kompleksowy program rewitalizacji centrum miasta, który obejmuje odnowienie elewacji 17 budynków komunalnych. Dotychczas wykonano m.in. remont budynku Urzędu, Ośrodka Kultury i szkoły w Pobiedziskach. Wychodząc naprzeciw właścicielom zabytkowych budynków Uchwałą Rady Miejskiej Gminy Pobiedziska z 2007 r. określono zasady i tryb udzielania  dotacji na prace konserwatorskie, restauratorskie lub roboty budowlane przy zabytku wpisanym do rejestru zabytków na terenie Gminy Pobiedziska.</w:t>
      </w:r>
    </w:p>
    <w:p w:rsidR="00775C0D" w:rsidRDefault="00535843" w:rsidP="009216D3">
      <w:pPr>
        <w:jc w:val="both"/>
      </w:pPr>
      <w:r>
        <w:pict>
          <v:shape id="_x0000_s1039" type="#_x0000_t185" style="width:142.1pt;height:458.35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39;mso-fit-shape-to-text:t" inset="18pt,18pt,,18pt">
              <w:txbxContent>
                <w:p w:rsidR="00291CA0" w:rsidRPr="0055791C" w:rsidRDefault="00291CA0" w:rsidP="0055791C">
                  <w:pPr>
                    <w:spacing w:before="120" w:after="120"/>
                    <w:jc w:val="both"/>
                    <w:rPr>
                      <w:b/>
                      <w:i/>
                      <w:iCs/>
                      <w:color w:val="943634" w:themeColor="accent2" w:themeShade="BF"/>
                    </w:rPr>
                  </w:pPr>
                  <w:r w:rsidRPr="0055791C">
                    <w:rPr>
                      <w:b/>
                      <w:i/>
                      <w:iCs/>
                      <w:color w:val="943634" w:themeColor="accent2" w:themeShade="BF"/>
                    </w:rPr>
                    <w:t>KONKLUZJE STRATEGICZNE</w:t>
                  </w:r>
                </w:p>
                <w:p w:rsidR="00291CA0" w:rsidRPr="0055791C" w:rsidRDefault="00291CA0" w:rsidP="0055791C">
                  <w:pPr>
                    <w:spacing w:before="120" w:after="120"/>
                    <w:jc w:val="both"/>
                    <w:rPr>
                      <w:b/>
                      <w:i/>
                      <w:iCs/>
                      <w:color w:val="808080" w:themeColor="background1" w:themeShade="80"/>
                    </w:rPr>
                  </w:pPr>
                  <w:r w:rsidRPr="00F40595">
                    <w:rPr>
                      <w:b/>
                      <w:i/>
                      <w:iCs/>
                      <w:color w:val="808080" w:themeColor="background1" w:themeShade="80"/>
                    </w:rPr>
                    <w:t>Ośrodek Kultury wraz z Biblioteką Publiczną prowadzą projekty służące animowaniu</w:t>
                  </w:r>
                  <w:r>
                    <w:rPr>
                      <w:b/>
                      <w:i/>
                      <w:iCs/>
                      <w:color w:val="808080" w:themeColor="background1" w:themeShade="80"/>
                    </w:rPr>
                    <w:br/>
                  </w:r>
                  <w:r w:rsidRPr="00F40595">
                    <w:rPr>
                      <w:b/>
                      <w:i/>
                      <w:iCs/>
                      <w:color w:val="808080" w:themeColor="background1" w:themeShade="80"/>
                    </w:rPr>
                    <w:t xml:space="preserve"> i upowszechnianiu kultury wśród mieszkańców miasta i gminy Pobiedziska. Atrakcją Pobiedzisk jest znajdujący się przy drodze krajowej E-5</w:t>
                  </w:r>
                  <w:r>
                    <w:rPr>
                      <w:b/>
                      <w:i/>
                      <w:iCs/>
                      <w:color w:val="808080" w:themeColor="background1" w:themeShade="80"/>
                    </w:rPr>
                    <w:t xml:space="preserve"> </w:t>
                  </w:r>
                  <w:r w:rsidRPr="0055791C">
                    <w:rPr>
                      <w:b/>
                      <w:i/>
                      <w:iCs/>
                      <w:color w:val="808080" w:themeColor="background1" w:themeShade="80"/>
                    </w:rPr>
                    <w:t>Skansen Miniatur obejmujący około 35 najważniejszych, a także i mniej znanych budowli z terenu Szlaku Piastowskiego oraz Wielkopolski.</w:t>
                  </w:r>
                </w:p>
              </w:txbxContent>
            </v:textbox>
            <w10:wrap type="none" anchorx="margin" anchory="margin"/>
            <w10:anchorlock/>
          </v:shape>
        </w:pict>
      </w:r>
    </w:p>
    <w:p w:rsidR="009A7ABC" w:rsidRPr="00885434" w:rsidRDefault="00927DA9" w:rsidP="00927DA9">
      <w:pPr>
        <w:pStyle w:val="Nagwek2"/>
        <w:ind w:left="360"/>
        <w:rPr>
          <w:rFonts w:asciiTheme="minorHAnsi" w:hAnsiTheme="minorHAnsi"/>
          <w:color w:val="943634" w:themeColor="accent2" w:themeShade="BF"/>
        </w:rPr>
      </w:pPr>
      <w:bookmarkStart w:id="20" w:name="_Toc321135337"/>
      <w:r w:rsidRPr="00885434">
        <w:rPr>
          <w:rFonts w:asciiTheme="minorHAnsi" w:hAnsiTheme="minorHAnsi"/>
          <w:color w:val="943634" w:themeColor="accent2" w:themeShade="BF"/>
        </w:rPr>
        <w:t xml:space="preserve">5.10 </w:t>
      </w:r>
      <w:r w:rsidR="009A7ABC" w:rsidRPr="00885434">
        <w:rPr>
          <w:rFonts w:asciiTheme="minorHAnsi" w:hAnsiTheme="minorHAnsi"/>
          <w:color w:val="943634" w:themeColor="accent2" w:themeShade="BF"/>
        </w:rPr>
        <w:t>Turystyka, sport i rekreacja</w:t>
      </w:r>
      <w:bookmarkEnd w:id="20"/>
    </w:p>
    <w:p w:rsidR="009B2AEE" w:rsidRPr="00885434" w:rsidRDefault="009B2AEE" w:rsidP="00FD778F">
      <w:pPr>
        <w:spacing w:after="0"/>
        <w:jc w:val="both"/>
      </w:pPr>
      <w:r w:rsidRPr="00885434">
        <w:t>Celem Ośrodka Sportu i Rekreacji jest upowszechnianie sportu, organizowanie rozrywki i wypoczynku dla miejscowego społeczeństwa. Ośrodek Sportu i Rekreacji zarządza w Pobiedziskach następującymi obiektami:</w:t>
      </w:r>
    </w:p>
    <w:p w:rsidR="009B2AEE" w:rsidRPr="00885434" w:rsidRDefault="009B2AEE" w:rsidP="00E84FFC">
      <w:pPr>
        <w:pStyle w:val="Akapitzlist"/>
        <w:numPr>
          <w:ilvl w:val="0"/>
          <w:numId w:val="9"/>
        </w:numPr>
        <w:spacing w:line="276" w:lineRule="auto"/>
        <w:jc w:val="both"/>
        <w:rPr>
          <w:rFonts w:asciiTheme="minorHAnsi" w:hAnsiTheme="minorHAnsi"/>
          <w:sz w:val="22"/>
        </w:rPr>
      </w:pPr>
      <w:r w:rsidRPr="00885434">
        <w:rPr>
          <w:rFonts w:asciiTheme="minorHAnsi" w:hAnsiTheme="minorHAnsi"/>
          <w:sz w:val="22"/>
        </w:rPr>
        <w:t xml:space="preserve">halą sportową </w:t>
      </w:r>
      <w:r w:rsidR="00EF1FAA" w:rsidRPr="00885434">
        <w:rPr>
          <w:rFonts w:asciiTheme="minorHAnsi" w:hAnsiTheme="minorHAnsi"/>
          <w:sz w:val="22"/>
        </w:rPr>
        <w:t>z zapleczem sportowym</w:t>
      </w:r>
      <w:r w:rsidRPr="00885434">
        <w:rPr>
          <w:rFonts w:asciiTheme="minorHAnsi" w:hAnsiTheme="minorHAnsi"/>
          <w:sz w:val="22"/>
        </w:rPr>
        <w:t>,</w:t>
      </w:r>
    </w:p>
    <w:p w:rsidR="00EF1FAA" w:rsidRPr="00885434" w:rsidRDefault="00EF1FAA" w:rsidP="00E84FFC">
      <w:pPr>
        <w:pStyle w:val="Akapitzlist"/>
        <w:numPr>
          <w:ilvl w:val="0"/>
          <w:numId w:val="9"/>
        </w:numPr>
        <w:spacing w:line="276" w:lineRule="auto"/>
        <w:jc w:val="both"/>
        <w:rPr>
          <w:rFonts w:asciiTheme="minorHAnsi" w:hAnsiTheme="minorHAnsi"/>
          <w:sz w:val="22"/>
        </w:rPr>
      </w:pPr>
      <w:r w:rsidRPr="00885434">
        <w:rPr>
          <w:rFonts w:asciiTheme="minorHAnsi" w:hAnsiTheme="minorHAnsi"/>
          <w:sz w:val="22"/>
        </w:rPr>
        <w:t>kortami tenisowymi (zespół trzech boisk z 6 kortami),</w:t>
      </w:r>
    </w:p>
    <w:p w:rsidR="009B2AEE" w:rsidRPr="00885434" w:rsidRDefault="009B2AEE" w:rsidP="00E84FFC">
      <w:pPr>
        <w:pStyle w:val="Akapitzlist"/>
        <w:numPr>
          <w:ilvl w:val="0"/>
          <w:numId w:val="9"/>
        </w:numPr>
        <w:spacing w:line="276" w:lineRule="auto"/>
        <w:jc w:val="both"/>
        <w:rPr>
          <w:rFonts w:asciiTheme="minorHAnsi" w:hAnsiTheme="minorHAnsi"/>
          <w:sz w:val="22"/>
        </w:rPr>
      </w:pPr>
      <w:r w:rsidRPr="00885434">
        <w:rPr>
          <w:rFonts w:asciiTheme="minorHAnsi" w:hAnsiTheme="minorHAnsi"/>
          <w:sz w:val="22"/>
        </w:rPr>
        <w:t>Centrum Integracji Społecznej</w:t>
      </w:r>
      <w:r w:rsidR="00EF1FAA" w:rsidRPr="00885434">
        <w:rPr>
          <w:rFonts w:asciiTheme="minorHAnsi" w:hAnsiTheme="minorHAnsi"/>
          <w:sz w:val="22"/>
        </w:rPr>
        <w:t xml:space="preserve"> (nowoczesne centrum rekreacyjne dostosowane do potrzeb dzieci, młodzieży i dorosłych)</w:t>
      </w:r>
      <w:r w:rsidRPr="00885434">
        <w:rPr>
          <w:rFonts w:asciiTheme="minorHAnsi" w:hAnsiTheme="minorHAnsi"/>
          <w:sz w:val="22"/>
        </w:rPr>
        <w:t>,</w:t>
      </w:r>
    </w:p>
    <w:p w:rsidR="009B2AEE" w:rsidRPr="00885434" w:rsidRDefault="009B2AEE" w:rsidP="00E84FFC">
      <w:pPr>
        <w:pStyle w:val="Akapitzlist"/>
        <w:numPr>
          <w:ilvl w:val="0"/>
          <w:numId w:val="9"/>
        </w:numPr>
        <w:spacing w:line="276" w:lineRule="auto"/>
        <w:jc w:val="both"/>
        <w:rPr>
          <w:rFonts w:asciiTheme="minorHAnsi" w:hAnsiTheme="minorHAnsi"/>
          <w:sz w:val="22"/>
        </w:rPr>
      </w:pPr>
      <w:r w:rsidRPr="00885434">
        <w:rPr>
          <w:rFonts w:asciiTheme="minorHAnsi" w:hAnsiTheme="minorHAnsi"/>
          <w:sz w:val="22"/>
        </w:rPr>
        <w:t>Stadionem Miejskim, na którym swoje mecze rozgrywa MGKS Huragan Pobiedziska,</w:t>
      </w:r>
    </w:p>
    <w:p w:rsidR="009B2AEE" w:rsidRPr="00885434" w:rsidRDefault="009B2AEE" w:rsidP="00E84FFC">
      <w:pPr>
        <w:pStyle w:val="Akapitzlist"/>
        <w:numPr>
          <w:ilvl w:val="0"/>
          <w:numId w:val="9"/>
        </w:numPr>
        <w:spacing w:line="276" w:lineRule="auto"/>
        <w:jc w:val="both"/>
        <w:rPr>
          <w:rFonts w:asciiTheme="minorHAnsi" w:hAnsiTheme="minorHAnsi"/>
          <w:sz w:val="22"/>
        </w:rPr>
      </w:pPr>
      <w:r w:rsidRPr="00885434">
        <w:rPr>
          <w:rFonts w:asciiTheme="minorHAnsi" w:hAnsiTheme="minorHAnsi"/>
          <w:sz w:val="22"/>
        </w:rPr>
        <w:t>Kompleksem Sportowym Orlik 2012</w:t>
      </w:r>
      <w:r w:rsidR="00E428CE" w:rsidRPr="00885434">
        <w:rPr>
          <w:rFonts w:asciiTheme="minorHAnsi" w:hAnsiTheme="minorHAnsi"/>
          <w:sz w:val="22"/>
        </w:rPr>
        <w:t>,</w:t>
      </w:r>
    </w:p>
    <w:p w:rsidR="00E428CE" w:rsidRPr="00885434" w:rsidRDefault="00E428CE" w:rsidP="00E84FFC">
      <w:pPr>
        <w:pStyle w:val="Akapitzlist"/>
        <w:numPr>
          <w:ilvl w:val="0"/>
          <w:numId w:val="9"/>
        </w:numPr>
        <w:spacing w:line="276" w:lineRule="auto"/>
        <w:jc w:val="both"/>
        <w:rPr>
          <w:rFonts w:asciiTheme="minorHAnsi" w:hAnsiTheme="minorHAnsi"/>
          <w:sz w:val="22"/>
        </w:rPr>
      </w:pPr>
      <w:r w:rsidRPr="00885434">
        <w:rPr>
          <w:rFonts w:asciiTheme="minorHAnsi" w:hAnsiTheme="minorHAnsi"/>
          <w:sz w:val="22"/>
        </w:rPr>
        <w:t>boiskiem wielofunkcyjnym ze sztuczną trawą w Biskupicach</w:t>
      </w:r>
    </w:p>
    <w:p w:rsidR="009B2AEE" w:rsidRPr="00885434" w:rsidRDefault="009B2AEE" w:rsidP="00E84FFC">
      <w:pPr>
        <w:pStyle w:val="Akapitzlist"/>
        <w:numPr>
          <w:ilvl w:val="0"/>
          <w:numId w:val="9"/>
        </w:numPr>
        <w:spacing w:line="276" w:lineRule="auto"/>
        <w:jc w:val="both"/>
        <w:rPr>
          <w:rFonts w:asciiTheme="minorHAnsi" w:hAnsiTheme="minorHAnsi"/>
          <w:sz w:val="22"/>
        </w:rPr>
      </w:pPr>
      <w:r w:rsidRPr="00885434">
        <w:rPr>
          <w:rFonts w:asciiTheme="minorHAnsi" w:hAnsiTheme="minorHAnsi"/>
          <w:sz w:val="22"/>
        </w:rPr>
        <w:t>oraz</w:t>
      </w:r>
      <w:r w:rsidR="00E428CE" w:rsidRPr="00885434">
        <w:rPr>
          <w:rFonts w:asciiTheme="minorHAnsi" w:hAnsiTheme="minorHAnsi"/>
          <w:sz w:val="22"/>
        </w:rPr>
        <w:t xml:space="preserve"> </w:t>
      </w:r>
      <w:r w:rsidR="00F32858" w:rsidRPr="00035FB1">
        <w:rPr>
          <w:rFonts w:asciiTheme="minorHAnsi" w:hAnsiTheme="minorHAnsi"/>
          <w:sz w:val="22"/>
        </w:rPr>
        <w:t>plaż</w:t>
      </w:r>
      <w:r w:rsidR="00C94484">
        <w:rPr>
          <w:rFonts w:asciiTheme="minorHAnsi" w:hAnsiTheme="minorHAnsi"/>
          <w:sz w:val="22"/>
        </w:rPr>
        <w:t>ą</w:t>
      </w:r>
      <w:r w:rsidR="00F32858" w:rsidRPr="00035FB1">
        <w:rPr>
          <w:rFonts w:asciiTheme="minorHAnsi" w:hAnsiTheme="minorHAnsi"/>
          <w:sz w:val="22"/>
        </w:rPr>
        <w:t xml:space="preserve"> ze strzeżonym miejscem do kąpieli</w:t>
      </w:r>
      <w:r w:rsidR="00E428CE" w:rsidRPr="00035FB1">
        <w:rPr>
          <w:rFonts w:asciiTheme="minorHAnsi" w:hAnsiTheme="minorHAnsi"/>
          <w:sz w:val="22"/>
        </w:rPr>
        <w:t xml:space="preserve"> nad jez. Biezdruchowo</w:t>
      </w:r>
      <w:r w:rsidRPr="00035FB1">
        <w:rPr>
          <w:rFonts w:asciiTheme="minorHAnsi" w:hAnsiTheme="minorHAnsi"/>
          <w:sz w:val="22"/>
        </w:rPr>
        <w:t>.</w:t>
      </w:r>
    </w:p>
    <w:p w:rsidR="009A7ABC" w:rsidRPr="00885434" w:rsidRDefault="009B2AEE" w:rsidP="000613BB">
      <w:pPr>
        <w:spacing w:before="60" w:after="60"/>
        <w:jc w:val="both"/>
      </w:pPr>
      <w:r w:rsidRPr="00885434">
        <w:lastRenderedPageBreak/>
        <w:t>Dodatkowo w kilku wsiach znajdują się boiska trawiaste i dobrze wyposażone place zabaw.</w:t>
      </w:r>
    </w:p>
    <w:p w:rsidR="006F620E" w:rsidRDefault="00A557AC" w:rsidP="000613BB">
      <w:pPr>
        <w:spacing w:before="60" w:after="60"/>
        <w:jc w:val="both"/>
      </w:pPr>
      <w:r w:rsidRPr="00885434">
        <w:t>W</w:t>
      </w:r>
      <w:r w:rsidR="00EF1FAA" w:rsidRPr="00885434">
        <w:t xml:space="preserve"> listopadzie 2011 roku na terenie Zespołu Szkół w Pobiedziskach </w:t>
      </w:r>
      <w:r w:rsidR="00E1360B">
        <w:t>otwarto</w:t>
      </w:r>
      <w:r w:rsidR="00EF1FAA" w:rsidRPr="00885434">
        <w:t xml:space="preserve"> n</w:t>
      </w:r>
      <w:r w:rsidRPr="00885434">
        <w:t>owoczesny kompleks edukacyjno-</w:t>
      </w:r>
      <w:r w:rsidR="00EF1FAA" w:rsidRPr="00885434">
        <w:t>sportowy. Znajdują się w nim: sala gimnastyczna, sale rehabilitacyjne, sala sportów walki oraz dwi</w:t>
      </w:r>
      <w:r w:rsidRPr="00885434">
        <w:t>e aule, biblioteka i czytelnia.</w:t>
      </w:r>
      <w:r w:rsidR="0074395D">
        <w:t xml:space="preserve"> </w:t>
      </w:r>
      <w:r w:rsidR="006F620E" w:rsidRPr="006F620E">
        <w:t>Obiektem zarządza Zespół Szkół w Pobiedziskach.</w:t>
      </w:r>
    </w:p>
    <w:p w:rsidR="0074395D" w:rsidRDefault="0074395D" w:rsidP="000613BB">
      <w:pPr>
        <w:spacing w:before="60" w:after="60"/>
        <w:jc w:val="both"/>
      </w:pPr>
      <w:r>
        <w:t>Dzięki lokalizacji kompleksu i przyjętym założeniom funkcjonalnym stworzono uczniom Zespołu Szkół w Pobiedziskach</w:t>
      </w:r>
      <w:r w:rsidR="00C94484">
        <w:t xml:space="preserve"> możliwość</w:t>
      </w:r>
      <w:r>
        <w:t>:</w:t>
      </w:r>
    </w:p>
    <w:p w:rsidR="0074395D" w:rsidRPr="0074395D" w:rsidRDefault="0074395D" w:rsidP="00E84FFC">
      <w:pPr>
        <w:pStyle w:val="Akapitzlist"/>
        <w:numPr>
          <w:ilvl w:val="0"/>
          <w:numId w:val="12"/>
        </w:numPr>
        <w:spacing w:line="276" w:lineRule="auto"/>
        <w:jc w:val="both"/>
        <w:rPr>
          <w:rFonts w:asciiTheme="minorHAnsi" w:hAnsiTheme="minorHAnsi" w:cs="Calibri"/>
          <w:sz w:val="22"/>
        </w:rPr>
      </w:pPr>
      <w:r w:rsidRPr="0074395D">
        <w:rPr>
          <w:rFonts w:asciiTheme="minorHAnsi" w:hAnsiTheme="minorHAnsi" w:cs="Calibri"/>
          <w:sz w:val="22"/>
        </w:rPr>
        <w:t>nauki w dwóch audiowizualnych salach konferencyjno-wykładowych,</w:t>
      </w:r>
    </w:p>
    <w:p w:rsidR="0074395D" w:rsidRPr="0074395D" w:rsidRDefault="0074395D" w:rsidP="00E84FFC">
      <w:pPr>
        <w:pStyle w:val="Akapitzlist"/>
        <w:numPr>
          <w:ilvl w:val="0"/>
          <w:numId w:val="12"/>
        </w:numPr>
        <w:spacing w:line="276" w:lineRule="auto"/>
        <w:jc w:val="both"/>
        <w:rPr>
          <w:rFonts w:asciiTheme="minorHAnsi" w:hAnsiTheme="minorHAnsi" w:cs="Calibri"/>
          <w:sz w:val="22"/>
        </w:rPr>
      </w:pPr>
      <w:r w:rsidRPr="0074395D">
        <w:rPr>
          <w:rFonts w:asciiTheme="minorHAnsi" w:hAnsiTheme="minorHAnsi" w:cs="Calibri"/>
          <w:sz w:val="22"/>
        </w:rPr>
        <w:t>pozostawienia odzieży w nowej szatni i skorzystania z zaplecza rehabilitacyjnego,</w:t>
      </w:r>
    </w:p>
    <w:p w:rsidR="0074395D" w:rsidRPr="0074395D" w:rsidRDefault="0074395D" w:rsidP="00E84FFC">
      <w:pPr>
        <w:pStyle w:val="Akapitzlist"/>
        <w:numPr>
          <w:ilvl w:val="0"/>
          <w:numId w:val="12"/>
        </w:numPr>
        <w:spacing w:line="276" w:lineRule="auto"/>
        <w:jc w:val="both"/>
        <w:rPr>
          <w:rFonts w:asciiTheme="minorHAnsi" w:hAnsiTheme="minorHAnsi"/>
          <w:sz w:val="22"/>
        </w:rPr>
      </w:pPr>
      <w:r w:rsidRPr="0074395D">
        <w:rPr>
          <w:rFonts w:asciiTheme="minorHAnsi" w:hAnsiTheme="minorHAnsi" w:cs="Calibri"/>
          <w:sz w:val="22"/>
        </w:rPr>
        <w:t>korzystania z d</w:t>
      </w:r>
      <w:r w:rsidRPr="0074395D">
        <w:rPr>
          <w:rFonts w:asciiTheme="minorHAnsi" w:hAnsiTheme="minorHAnsi"/>
          <w:sz w:val="22"/>
        </w:rPr>
        <w:t>wóch ścianek wspinaczkowych i sześciu szatni z pe</w:t>
      </w:r>
      <w:r>
        <w:rPr>
          <w:rFonts w:asciiTheme="minorHAnsi" w:hAnsiTheme="minorHAnsi"/>
          <w:sz w:val="22"/>
        </w:rPr>
        <w:t xml:space="preserve">łnym zapleczem sanitarnym oraz </w:t>
      </w:r>
      <w:r w:rsidRPr="0074395D">
        <w:rPr>
          <w:rFonts w:asciiTheme="minorHAnsi" w:hAnsiTheme="minorHAnsi"/>
          <w:sz w:val="22"/>
        </w:rPr>
        <w:t>nowej biblioteki i czytelni,</w:t>
      </w:r>
    </w:p>
    <w:p w:rsidR="00A557AC" w:rsidRPr="0074395D" w:rsidRDefault="0074395D" w:rsidP="00E84FFC">
      <w:pPr>
        <w:pStyle w:val="Akapitzlist"/>
        <w:numPr>
          <w:ilvl w:val="0"/>
          <w:numId w:val="12"/>
        </w:numPr>
        <w:spacing w:after="240" w:line="276" w:lineRule="auto"/>
        <w:jc w:val="both"/>
        <w:rPr>
          <w:rFonts w:asciiTheme="minorHAnsi" w:hAnsiTheme="minorHAnsi"/>
          <w:sz w:val="22"/>
        </w:rPr>
      </w:pPr>
      <w:r w:rsidRPr="0074395D">
        <w:rPr>
          <w:rFonts w:asciiTheme="minorHAnsi" w:hAnsiTheme="minorHAnsi" w:cs="Calibri"/>
          <w:sz w:val="22"/>
        </w:rPr>
        <w:t>ćwiczenia na hali oraz na dodatkowej sali do sportów walk i gimnastyki.</w:t>
      </w:r>
    </w:p>
    <w:p w:rsidR="009919B6" w:rsidRDefault="009919B6" w:rsidP="000613BB">
      <w:pPr>
        <w:spacing w:before="60" w:after="60"/>
        <w:jc w:val="both"/>
      </w:pPr>
      <w:r w:rsidRPr="009919B6">
        <w:t>Najpopularniejszym klubem sportowym w mieście jest Miejsko Gminny Klub Sportowy „Huragan Pobiedziska” założony w 1937 roku</w:t>
      </w:r>
      <w:r w:rsidRPr="00035FB1">
        <w:t xml:space="preserve">. </w:t>
      </w:r>
      <w:r w:rsidR="00F32858" w:rsidRPr="00035FB1">
        <w:t>Poza tym na terenie gminy działają także Pobiedziski Kl</w:t>
      </w:r>
      <w:r w:rsidR="00035FB1" w:rsidRPr="00035FB1">
        <w:t>ub tenisowy, TKKF Płomień przy O</w:t>
      </w:r>
      <w:r w:rsidR="00F32858" w:rsidRPr="00035FB1">
        <w:t xml:space="preserve">chotniczej Straży Pożarnej w Pobiedziskach, Klub Jeździecki „Liljówka” w Stęszewku, Wielkopolski Związek Darta (Oddział Polskiej Federacji Darta, Dziecięca Sekcja Darta </w:t>
      </w:r>
      <w:r w:rsidR="00035FB1" w:rsidRPr="00035FB1">
        <w:t>”Orliki”)</w:t>
      </w:r>
      <w:r w:rsidR="00F32858" w:rsidRPr="00035FB1">
        <w:t xml:space="preserve"> oraz Uczniowskie Kluby Sportowe: UKS „Lider” przy Szkole Podsta</w:t>
      </w:r>
      <w:r w:rsidR="00014074" w:rsidRPr="00035FB1">
        <w:t xml:space="preserve">wowej w Biskupicach, </w:t>
      </w:r>
      <w:r w:rsidR="00F32858" w:rsidRPr="00035FB1">
        <w:t>UKS „Smecz” przy Zespole Szkół w Pobiedziskach, Jeździecki UKS „Abakus”, UKS „Zalew” przy Zespole Szkół w Jerzykowie, UKS „Wronka” przy Zespole Szkół we Wronczynie, UKS przy Zespole Szkół Pobi</w:t>
      </w:r>
      <w:r w:rsidR="00014074" w:rsidRPr="00035FB1">
        <w:t>edziska-Letnisko (wpisany do rejestru Polskiego Związku Hokeja na Trawie i Wielkopolskiego Związku Hokeja na Trawie).</w:t>
      </w:r>
    </w:p>
    <w:p w:rsidR="009919B6" w:rsidRDefault="009919B6" w:rsidP="000613BB">
      <w:pPr>
        <w:spacing w:before="60" w:after="60"/>
        <w:jc w:val="both"/>
      </w:pPr>
      <w:r>
        <w:t>Jednym</w:t>
      </w:r>
      <w:r w:rsidRPr="009919B6">
        <w:t xml:space="preserve"> z najważniejsz</w:t>
      </w:r>
      <w:r>
        <w:t>ych obiektów sportowych miasta jest stadion, który mieści 1500 osób</w:t>
      </w:r>
      <w:r w:rsidRPr="009919B6">
        <w:t>. Boisko do gry spełnia standard UEFA</w:t>
      </w:r>
      <w:r>
        <w:t>. Obiekt z</w:t>
      </w:r>
      <w:r w:rsidRPr="009919B6">
        <w:t>ostał gruntownie wyremontowany w latach 2005-2006.</w:t>
      </w:r>
    </w:p>
    <w:p w:rsidR="00F534CB" w:rsidRDefault="00636AE4" w:rsidP="000613BB">
      <w:pPr>
        <w:spacing w:before="60" w:after="60"/>
        <w:jc w:val="both"/>
      </w:pPr>
      <w:r>
        <w:t xml:space="preserve">W 2010 r. Pobiedziska otrzymały tytuł „Sportowa Gmina” za inwestycje w nowoczesną bazę sportową i rekreacyjną oraz skuteczne realizowanie programu rozwoju sportu i rekreacji w gminie. Program ten realizowany jest przez Ośrodek Sportu i Rekreacji, szkoły oraz stowarzyszenia sportowe dotowane </w:t>
      </w:r>
      <w:r w:rsidR="00044FD2">
        <w:br/>
      </w:r>
      <w:r>
        <w:t>z budżetu gminy.</w:t>
      </w:r>
    </w:p>
    <w:p w:rsidR="006170CC" w:rsidRPr="00885434" w:rsidRDefault="006170CC" w:rsidP="000613BB">
      <w:pPr>
        <w:spacing w:before="60" w:after="60"/>
        <w:jc w:val="both"/>
      </w:pPr>
      <w:r>
        <w:t>Uwarunkowania przyrodniczo-krajobrazowe i kulturowe Gminy Pobiedziska stwarzają korzystne warunki dla rozwoju różnych form wypoczynku pobytowego, weekendowego, turystyki oraz sportu.</w:t>
      </w:r>
    </w:p>
    <w:p w:rsidR="00EF1FAA" w:rsidRPr="00885434" w:rsidRDefault="00060618" w:rsidP="000613BB">
      <w:pPr>
        <w:spacing w:before="60" w:after="60"/>
        <w:jc w:val="both"/>
      </w:pPr>
      <w:r>
        <w:t xml:space="preserve">Na terenie gminy Pobiedziska znajdują się dwa ogólnodostępne zorganizowane </w:t>
      </w:r>
      <w:r w:rsidR="00014074" w:rsidRPr="00035FB1">
        <w:t>miejsca do kąpieli</w:t>
      </w:r>
      <w:r w:rsidRPr="00035FB1">
        <w:t>:</w:t>
      </w:r>
      <w:r>
        <w:t xml:space="preserve"> nad j. Biezdruchowo i Eko-plaża w m. Stęszewko, nad j. Stęszewsko - Kołakowskim. </w:t>
      </w:r>
      <w:r w:rsidR="00A557AC" w:rsidRPr="00885434">
        <w:t>W gminie znajdują się także p</w:t>
      </w:r>
      <w:r w:rsidR="00EF1FAA" w:rsidRPr="00885434">
        <w:t xml:space="preserve">rzystań kajakowa </w:t>
      </w:r>
      <w:r w:rsidR="00A557AC" w:rsidRPr="00885434">
        <w:t xml:space="preserve">przy </w:t>
      </w:r>
      <w:r w:rsidR="00EF1FAA" w:rsidRPr="00885434">
        <w:t>ul.</w:t>
      </w:r>
      <w:r w:rsidR="00B25E69" w:rsidRPr="00885434">
        <w:t xml:space="preserve"> </w:t>
      </w:r>
      <w:r w:rsidR="00EF1FAA" w:rsidRPr="00885434">
        <w:t>Okrężn</w:t>
      </w:r>
      <w:r w:rsidR="00A557AC" w:rsidRPr="00885434">
        <w:t>ej w</w:t>
      </w:r>
      <w:r w:rsidR="00EF1FAA" w:rsidRPr="00885434">
        <w:t xml:space="preserve"> Jerzykow</w:t>
      </w:r>
      <w:r w:rsidR="00A557AC" w:rsidRPr="00885434">
        <w:t>ie</w:t>
      </w:r>
      <w:r w:rsidR="00EF1FAA" w:rsidRPr="00885434">
        <w:t xml:space="preserve"> (użytkowana przez UKS Zalew)</w:t>
      </w:r>
      <w:r w:rsidR="00051656" w:rsidRPr="00885434">
        <w:t>, ośrodki jeździeckie, pola namiotowe i biwakowe.</w:t>
      </w:r>
    </w:p>
    <w:p w:rsidR="00D94BA1" w:rsidRPr="00035FB1" w:rsidRDefault="00D94BA1" w:rsidP="00035FB1">
      <w:pPr>
        <w:spacing w:before="60" w:after="0"/>
        <w:jc w:val="both"/>
      </w:pPr>
      <w:r w:rsidRPr="00035FB1">
        <w:t>Na terenie gminy istnieje dobrze rozwinięta sieć szlaków turystycznych: pieszych i rowerowych oraz szlak turystyki konnej. W 2011 roku dzięki współpracy ze Związkiem Międzygminnym „Puszcza Zielonka” odnowiono oznakowanie szlaków pieszych przebiegających przez obszar parku krajobrazowego Puszcza Zielonka. P</w:t>
      </w:r>
      <w:r w:rsidRPr="00035FB1">
        <w:rPr>
          <w:rFonts w:cs="Calibri"/>
        </w:rPr>
        <w:t>rzez gminę przechod</w:t>
      </w:r>
      <w:r w:rsidR="00035FB1" w:rsidRPr="00035FB1">
        <w:t>zą cztery szlaki piesze:</w:t>
      </w:r>
    </w:p>
    <w:p w:rsidR="00D94BA1" w:rsidRPr="00035FB1" w:rsidRDefault="00D94BA1" w:rsidP="00E84FFC">
      <w:pPr>
        <w:pStyle w:val="Akapitzlist"/>
        <w:numPr>
          <w:ilvl w:val="0"/>
          <w:numId w:val="14"/>
        </w:numPr>
        <w:spacing w:line="276" w:lineRule="auto"/>
        <w:jc w:val="both"/>
        <w:rPr>
          <w:rFonts w:ascii="Calibri" w:hAnsi="Calibri" w:cs="Calibri"/>
          <w:sz w:val="22"/>
        </w:rPr>
      </w:pPr>
      <w:r w:rsidRPr="00035FB1">
        <w:rPr>
          <w:rFonts w:ascii="Calibri" w:hAnsi="Calibri" w:cs="Calibri"/>
          <w:sz w:val="22"/>
        </w:rPr>
        <w:t>Liczący 19,0 km długości fragment szlaku niebieskiego jest częścią dłuższego szlaku Promno - Marzenin ( 58,9 km ).</w:t>
      </w:r>
    </w:p>
    <w:p w:rsidR="00D94BA1" w:rsidRPr="00035FB1" w:rsidRDefault="00D94BA1" w:rsidP="00E84FFC">
      <w:pPr>
        <w:pStyle w:val="Akapitzlist"/>
        <w:numPr>
          <w:ilvl w:val="0"/>
          <w:numId w:val="14"/>
        </w:numPr>
        <w:spacing w:line="276" w:lineRule="auto"/>
        <w:jc w:val="both"/>
        <w:rPr>
          <w:rFonts w:ascii="Calibri" w:hAnsi="Calibri" w:cs="Calibri"/>
          <w:sz w:val="22"/>
        </w:rPr>
      </w:pPr>
      <w:r w:rsidRPr="00035FB1">
        <w:rPr>
          <w:rFonts w:ascii="Calibri" w:hAnsi="Calibri" w:cs="Calibri"/>
          <w:sz w:val="22"/>
        </w:rPr>
        <w:t>Szlak zielony łączący miasto Pobiedziska z Obornikami liczy w całości 82 km. Odcinek znajdujący się w granicach gminy wynosi 25 km i jest najdłuższym szlakiem pieszym na tym obszarze. Dlatego też autorzy przewodników turystycznych dzielą go na dwa oddzielne szlaki tego samego koloru. Punkt wspólny znajduje się na stacji PKP w Promnie.</w:t>
      </w:r>
    </w:p>
    <w:p w:rsidR="00D94BA1" w:rsidRPr="00035FB1" w:rsidRDefault="00D94BA1" w:rsidP="00E84FFC">
      <w:pPr>
        <w:pStyle w:val="Akapitzlist"/>
        <w:numPr>
          <w:ilvl w:val="0"/>
          <w:numId w:val="14"/>
        </w:numPr>
        <w:spacing w:line="276" w:lineRule="auto"/>
        <w:jc w:val="both"/>
        <w:rPr>
          <w:rFonts w:ascii="Calibri" w:hAnsi="Calibri" w:cs="Calibri"/>
          <w:sz w:val="22"/>
        </w:rPr>
      </w:pPr>
      <w:r w:rsidRPr="00035FB1">
        <w:rPr>
          <w:rFonts w:ascii="Calibri" w:hAnsi="Calibri" w:cs="Calibri"/>
          <w:sz w:val="22"/>
        </w:rPr>
        <w:lastRenderedPageBreak/>
        <w:t>Szlak żółty, którego 5-kilometrowy odcinek wiedzie przez obszar gminy Pobiedziska to część dłuższej trasy z Wierzyc do Czerniejewa.</w:t>
      </w:r>
    </w:p>
    <w:p w:rsidR="00D94BA1" w:rsidRPr="00035FB1" w:rsidRDefault="00D94BA1" w:rsidP="00E84FFC">
      <w:pPr>
        <w:pStyle w:val="Akapitzlist"/>
        <w:numPr>
          <w:ilvl w:val="0"/>
          <w:numId w:val="14"/>
        </w:numPr>
        <w:spacing w:line="276" w:lineRule="auto"/>
        <w:jc w:val="both"/>
        <w:rPr>
          <w:rFonts w:ascii="Calibri" w:hAnsi="Calibri" w:cs="Calibri"/>
          <w:sz w:val="22"/>
        </w:rPr>
      </w:pPr>
      <w:r w:rsidRPr="00035FB1">
        <w:rPr>
          <w:rFonts w:ascii="Calibri" w:hAnsi="Calibri" w:cs="Calibri"/>
          <w:sz w:val="22"/>
        </w:rPr>
        <w:t xml:space="preserve">Szlak niebieski ma swój początek na Dziewiczej Górze nieopodal miejscowości Czerwonak </w:t>
      </w:r>
      <w:r w:rsidR="00E54998">
        <w:rPr>
          <w:rFonts w:ascii="Calibri" w:hAnsi="Calibri" w:cs="Calibri"/>
          <w:sz w:val="22"/>
        </w:rPr>
        <w:br/>
      </w:r>
      <w:r w:rsidRPr="00035FB1">
        <w:rPr>
          <w:rFonts w:ascii="Calibri" w:hAnsi="Calibri" w:cs="Calibri"/>
          <w:sz w:val="22"/>
        </w:rPr>
        <w:t>i wiedzie do Sławy Wielkopolskiej (37,4 km). Przez obszar gminy przebiega 6,5 km tego szlaku</w:t>
      </w:r>
    </w:p>
    <w:p w:rsidR="00D94BA1" w:rsidRPr="00035FB1" w:rsidRDefault="00D94BA1" w:rsidP="00035FB1">
      <w:pPr>
        <w:spacing w:before="60" w:after="0"/>
        <w:jc w:val="both"/>
      </w:pPr>
      <w:r w:rsidRPr="00035FB1">
        <w:t>Na terenie gminy Pobiedziska wyznaczo</w:t>
      </w:r>
      <w:r w:rsidR="00E54998">
        <w:t>no następujące szlaki rowerowe:</w:t>
      </w:r>
    </w:p>
    <w:p w:rsidR="00D94BA1" w:rsidRPr="00035FB1" w:rsidRDefault="00D94BA1" w:rsidP="00E84FFC">
      <w:pPr>
        <w:pStyle w:val="Akapitzlist"/>
        <w:numPr>
          <w:ilvl w:val="0"/>
          <w:numId w:val="14"/>
        </w:numPr>
        <w:spacing w:line="276" w:lineRule="auto"/>
        <w:jc w:val="both"/>
        <w:rPr>
          <w:rFonts w:ascii="Calibri" w:hAnsi="Calibri" w:cs="Calibri"/>
          <w:sz w:val="22"/>
        </w:rPr>
      </w:pPr>
      <w:r w:rsidRPr="00035FB1">
        <w:rPr>
          <w:rFonts w:ascii="Calibri" w:hAnsi="Calibri" w:cs="Calibri"/>
          <w:sz w:val="22"/>
        </w:rPr>
        <w:t xml:space="preserve">Piastowski Trakt Rowerowy (104 km), który pokrywa się z Eurovelo nr 2 i </w:t>
      </w:r>
      <w:r w:rsidR="00E54998">
        <w:rPr>
          <w:rFonts w:ascii="Calibri" w:hAnsi="Calibri" w:cs="Calibri"/>
          <w:sz w:val="22"/>
        </w:rPr>
        <w:t>9. Przez teren gminy przebiega 19,5 km tego szlaku;</w:t>
      </w:r>
    </w:p>
    <w:p w:rsidR="00D94BA1" w:rsidRPr="00035FB1" w:rsidRDefault="00D94BA1" w:rsidP="00E84FFC">
      <w:pPr>
        <w:pStyle w:val="Akapitzlist"/>
        <w:numPr>
          <w:ilvl w:val="0"/>
          <w:numId w:val="14"/>
        </w:numPr>
        <w:spacing w:line="276" w:lineRule="auto"/>
        <w:jc w:val="both"/>
        <w:rPr>
          <w:rFonts w:ascii="Calibri" w:hAnsi="Calibri" w:cs="Calibri"/>
          <w:sz w:val="22"/>
        </w:rPr>
      </w:pPr>
      <w:r w:rsidRPr="00035FB1">
        <w:rPr>
          <w:rFonts w:ascii="Calibri" w:hAnsi="Calibri" w:cs="Calibri"/>
          <w:sz w:val="22"/>
        </w:rPr>
        <w:t>Pierścień Dookoła Poznania (173 km). Odcinek znajdujący się w g</w:t>
      </w:r>
      <w:r w:rsidR="00E54998">
        <w:rPr>
          <w:rFonts w:ascii="Calibri" w:hAnsi="Calibri" w:cs="Calibri"/>
          <w:sz w:val="22"/>
        </w:rPr>
        <w:t>ranicach gminy ma długość 15 km;</w:t>
      </w:r>
    </w:p>
    <w:p w:rsidR="00D94BA1" w:rsidRPr="00035FB1" w:rsidRDefault="00D94BA1" w:rsidP="00E84FFC">
      <w:pPr>
        <w:pStyle w:val="Akapitzlist"/>
        <w:numPr>
          <w:ilvl w:val="0"/>
          <w:numId w:val="14"/>
        </w:numPr>
        <w:spacing w:line="276" w:lineRule="auto"/>
        <w:jc w:val="both"/>
        <w:rPr>
          <w:rFonts w:ascii="Calibri" w:hAnsi="Calibri" w:cs="Calibri"/>
          <w:sz w:val="22"/>
        </w:rPr>
      </w:pPr>
      <w:r w:rsidRPr="00035FB1">
        <w:rPr>
          <w:rFonts w:ascii="Calibri" w:hAnsi="Calibri" w:cs="Calibri"/>
          <w:sz w:val="22"/>
        </w:rPr>
        <w:t>Szlak łącznikowy R-2 (na terenie gminy: 9,5 km)</w:t>
      </w:r>
      <w:r w:rsidR="00E54998">
        <w:rPr>
          <w:rFonts w:ascii="Calibri" w:hAnsi="Calibri" w:cs="Calibri"/>
          <w:sz w:val="22"/>
        </w:rPr>
        <w:t>;</w:t>
      </w:r>
    </w:p>
    <w:p w:rsidR="00D94BA1" w:rsidRPr="00035FB1" w:rsidRDefault="00D94BA1" w:rsidP="00E84FFC">
      <w:pPr>
        <w:pStyle w:val="Akapitzlist"/>
        <w:numPr>
          <w:ilvl w:val="0"/>
          <w:numId w:val="14"/>
        </w:numPr>
        <w:spacing w:line="276" w:lineRule="auto"/>
        <w:jc w:val="both"/>
        <w:rPr>
          <w:rFonts w:ascii="Calibri" w:hAnsi="Calibri" w:cs="Calibri"/>
          <w:sz w:val="22"/>
        </w:rPr>
      </w:pPr>
      <w:r w:rsidRPr="00035FB1">
        <w:rPr>
          <w:rFonts w:ascii="Calibri" w:hAnsi="Calibri" w:cs="Calibri"/>
          <w:sz w:val="22"/>
        </w:rPr>
        <w:t>Szlak łącznikowy R-3 (na terenie gminy: 14 km)</w:t>
      </w:r>
      <w:r w:rsidR="00E54998">
        <w:rPr>
          <w:rFonts w:ascii="Calibri" w:hAnsi="Calibri" w:cs="Calibri"/>
          <w:sz w:val="22"/>
        </w:rPr>
        <w:t>;</w:t>
      </w:r>
    </w:p>
    <w:p w:rsidR="00D94BA1" w:rsidRPr="00035FB1" w:rsidRDefault="00D94BA1" w:rsidP="00E84FFC">
      <w:pPr>
        <w:pStyle w:val="Akapitzlist"/>
        <w:numPr>
          <w:ilvl w:val="0"/>
          <w:numId w:val="14"/>
        </w:numPr>
        <w:spacing w:line="276" w:lineRule="auto"/>
        <w:jc w:val="both"/>
        <w:rPr>
          <w:rFonts w:ascii="Calibri" w:hAnsi="Calibri" w:cs="Calibri"/>
          <w:sz w:val="22"/>
        </w:rPr>
      </w:pPr>
      <w:r w:rsidRPr="00035FB1">
        <w:rPr>
          <w:rFonts w:ascii="Calibri" w:hAnsi="Calibri" w:cs="Calibri"/>
          <w:sz w:val="22"/>
        </w:rPr>
        <w:t>Szlak łącznikowy R-11 (na terenie gminy: 9,5 km)</w:t>
      </w:r>
      <w:r w:rsidR="00E54998">
        <w:rPr>
          <w:rFonts w:ascii="Calibri" w:hAnsi="Calibri" w:cs="Calibri"/>
          <w:sz w:val="22"/>
        </w:rPr>
        <w:t>;</w:t>
      </w:r>
    </w:p>
    <w:p w:rsidR="00D94BA1" w:rsidRPr="00035FB1" w:rsidRDefault="00D94BA1" w:rsidP="00E84FFC">
      <w:pPr>
        <w:pStyle w:val="Akapitzlist"/>
        <w:numPr>
          <w:ilvl w:val="0"/>
          <w:numId w:val="14"/>
        </w:numPr>
        <w:spacing w:line="276" w:lineRule="auto"/>
        <w:jc w:val="both"/>
        <w:rPr>
          <w:rFonts w:ascii="Calibri" w:hAnsi="Calibri" w:cs="Calibri"/>
          <w:sz w:val="22"/>
        </w:rPr>
      </w:pPr>
      <w:r w:rsidRPr="00035FB1">
        <w:rPr>
          <w:rFonts w:ascii="Calibri" w:hAnsi="Calibri" w:cs="Calibri"/>
          <w:sz w:val="22"/>
        </w:rPr>
        <w:t>Szlak łącznikowy R-12, który niemalże w całości (45,3 km) prowadzi przez teren gminy</w:t>
      </w:r>
      <w:r w:rsidR="00E54998">
        <w:rPr>
          <w:rFonts w:ascii="Calibri" w:hAnsi="Calibri" w:cs="Calibri"/>
          <w:sz w:val="22"/>
        </w:rPr>
        <w:t>.</w:t>
      </w:r>
    </w:p>
    <w:p w:rsidR="00D94BA1" w:rsidRPr="006318C6" w:rsidRDefault="00D94BA1" w:rsidP="006318C6">
      <w:pPr>
        <w:spacing w:before="60" w:after="60"/>
        <w:jc w:val="both"/>
      </w:pPr>
      <w:r w:rsidRPr="00035FB1">
        <w:t xml:space="preserve">W miejscowości Stęszewko rozpoczyna się najdłuższa w Europie </w:t>
      </w:r>
      <w:r w:rsidR="00E54998">
        <w:t>trans</w:t>
      </w:r>
      <w:r w:rsidR="00E54998" w:rsidRPr="00035FB1">
        <w:t>regionalna</w:t>
      </w:r>
      <w:r w:rsidRPr="00035FB1">
        <w:t xml:space="preserve"> trasa do uprawiania turystyki konnej - Wilczy Szlak.</w:t>
      </w:r>
    </w:p>
    <w:p w:rsidR="00051656" w:rsidRPr="002A2091" w:rsidRDefault="00051656" w:rsidP="000613BB">
      <w:pPr>
        <w:spacing w:before="60" w:after="60"/>
        <w:jc w:val="both"/>
      </w:pPr>
      <w:r w:rsidRPr="002A2091">
        <w:t>Dla miłośników Nordic Walking powstała sieć tras przebiegających przez najciekawsze tereny Parku Krajobrazowego Promno leżącego w gminie Pobiedziska. Wyznaczone zostały 3 szlaki: Pobiedziska-Kapalica, Brzostek-Drążynek, Rezerwat Dębiniec.</w:t>
      </w:r>
    </w:p>
    <w:p w:rsidR="00051656" w:rsidRDefault="00D857A0" w:rsidP="000613BB">
      <w:pPr>
        <w:spacing w:before="60" w:after="60"/>
        <w:jc w:val="both"/>
      </w:pPr>
      <w:r w:rsidRPr="002A2091">
        <w:t xml:space="preserve">Realizowany </w:t>
      </w:r>
      <w:r w:rsidR="009F1093" w:rsidRPr="002A2091">
        <w:t xml:space="preserve">szlak kajakowy </w:t>
      </w:r>
      <w:r w:rsidR="005B1B50" w:rsidRPr="002A2091">
        <w:t xml:space="preserve">„Puszcza Zielonka” </w:t>
      </w:r>
      <w:r w:rsidR="009F1093" w:rsidRPr="002A2091">
        <w:t xml:space="preserve">biegnący rynną jezior polodowcowych przez malownicze tereny gminy, rozpoczyna się w Pobiedziskach na jeziorze Biezdruchowo i </w:t>
      </w:r>
      <w:r w:rsidRPr="002A2091">
        <w:t>prowadzi</w:t>
      </w:r>
      <w:r w:rsidR="009F1093" w:rsidRPr="002A2091">
        <w:t xml:space="preserve"> przez odcinek rzeki Głównej, rynną jezior – Jerzyńskie, Wronczyńskie Małe i Duże – kończy się na jeziorze Stęszewsko-Kołatowskim w Tucznie.</w:t>
      </w:r>
      <w:r w:rsidRPr="002A2091">
        <w:t xml:space="preserve"> Projekt „Szlak Kajakowy Puszcza Zielonka” realizowany przez Związek Międzygminny „Puszcza Zielonka” na obszarze Parku Krajobrazowego Puszcza Zielonka polega na wykonaniu 11,3 km szlaku turystyki wodnej na obszarze jezior pomiędzy miejscowościami Pobiedziska i Tuczno. Całość prac pozwoli na stworzenie w pełni przystosowanego, oznakowanego szlaku turystyki wodnej i pomoże zaspokoić potrzeby mieszkańców województwa wielkopolskiego </w:t>
      </w:r>
      <w:r w:rsidR="00E54998">
        <w:br/>
      </w:r>
      <w:r w:rsidRPr="002A2091">
        <w:t>w zakresie ogólnodostępnej infrastruktury turystycznej.</w:t>
      </w:r>
    </w:p>
    <w:p w:rsidR="002A2091" w:rsidRPr="002A2091" w:rsidRDefault="002A2091" w:rsidP="006318C6">
      <w:pPr>
        <w:spacing w:before="60" w:after="0"/>
        <w:jc w:val="both"/>
      </w:pPr>
      <w:r>
        <w:t>Ponadto turystów przyciągają:</w:t>
      </w:r>
    </w:p>
    <w:p w:rsidR="009F1093" w:rsidRPr="00885434" w:rsidRDefault="009F1093" w:rsidP="00E84FFC">
      <w:pPr>
        <w:pStyle w:val="Akapitzlist"/>
        <w:numPr>
          <w:ilvl w:val="0"/>
          <w:numId w:val="10"/>
        </w:numPr>
        <w:spacing w:line="276" w:lineRule="auto"/>
        <w:jc w:val="both"/>
        <w:rPr>
          <w:rFonts w:asciiTheme="minorHAnsi" w:hAnsiTheme="minorHAnsi"/>
          <w:sz w:val="22"/>
        </w:rPr>
      </w:pPr>
      <w:r w:rsidRPr="00885434">
        <w:rPr>
          <w:rFonts w:asciiTheme="minorHAnsi" w:hAnsiTheme="minorHAnsi"/>
          <w:sz w:val="22"/>
        </w:rPr>
        <w:t>Szlak kościołów drewnianych wokół Puszczy Zielonka</w:t>
      </w:r>
      <w:r w:rsidR="002A2091">
        <w:rPr>
          <w:rFonts w:asciiTheme="minorHAnsi" w:hAnsiTheme="minorHAnsi"/>
          <w:sz w:val="22"/>
        </w:rPr>
        <w:t>,</w:t>
      </w:r>
      <w:r w:rsidRPr="00885434">
        <w:rPr>
          <w:rFonts w:asciiTheme="minorHAnsi" w:hAnsiTheme="minorHAnsi"/>
          <w:sz w:val="22"/>
        </w:rPr>
        <w:t xml:space="preserve"> obejmuje kościół drewniany zlokalizowany w miejscowoś</w:t>
      </w:r>
      <w:r w:rsidR="00E54998">
        <w:rPr>
          <w:rFonts w:asciiTheme="minorHAnsi" w:hAnsiTheme="minorHAnsi"/>
          <w:sz w:val="22"/>
        </w:rPr>
        <w:t>ci Węglewo w gminie Pobiedziska;</w:t>
      </w:r>
    </w:p>
    <w:p w:rsidR="009F1093" w:rsidRPr="00885434" w:rsidRDefault="009F1093" w:rsidP="00E84FFC">
      <w:pPr>
        <w:pStyle w:val="Akapitzlist"/>
        <w:numPr>
          <w:ilvl w:val="0"/>
          <w:numId w:val="10"/>
        </w:numPr>
        <w:spacing w:before="60" w:after="60" w:line="276" w:lineRule="auto"/>
        <w:jc w:val="both"/>
        <w:rPr>
          <w:rFonts w:asciiTheme="minorHAnsi" w:hAnsiTheme="minorHAnsi"/>
          <w:sz w:val="22"/>
        </w:rPr>
      </w:pPr>
      <w:r w:rsidRPr="00885434">
        <w:rPr>
          <w:rFonts w:asciiTheme="minorHAnsi" w:hAnsiTheme="minorHAnsi"/>
          <w:sz w:val="22"/>
        </w:rPr>
        <w:t>Szlak Piastowski, który jest dziś jedną z najczęściej uczęszczanych tras wycieczek autokarowych w Polsce.</w:t>
      </w:r>
    </w:p>
    <w:p w:rsidR="00051656" w:rsidRPr="00885434" w:rsidRDefault="00051656" w:rsidP="006318C6">
      <w:pPr>
        <w:spacing w:before="60" w:after="0"/>
        <w:jc w:val="both"/>
      </w:pPr>
      <w:r w:rsidRPr="00885434">
        <w:t>W szczególności dla dzieci i młodzieży stworzone zostały natomiast ścieżki dydaktyczne:</w:t>
      </w:r>
    </w:p>
    <w:p w:rsidR="00051656" w:rsidRPr="00885434" w:rsidRDefault="00E1360B" w:rsidP="00E84FFC">
      <w:pPr>
        <w:pStyle w:val="Akapitzlist"/>
        <w:numPr>
          <w:ilvl w:val="0"/>
          <w:numId w:val="11"/>
        </w:numPr>
        <w:spacing w:line="276" w:lineRule="auto"/>
        <w:jc w:val="both"/>
        <w:rPr>
          <w:rFonts w:asciiTheme="minorHAnsi" w:hAnsiTheme="minorHAnsi"/>
          <w:sz w:val="22"/>
        </w:rPr>
      </w:pPr>
      <w:r>
        <w:rPr>
          <w:rFonts w:asciiTheme="minorHAnsi" w:hAnsiTheme="minorHAnsi"/>
          <w:sz w:val="22"/>
        </w:rPr>
        <w:t>ś</w:t>
      </w:r>
      <w:r w:rsidR="00051656" w:rsidRPr="00885434">
        <w:rPr>
          <w:rFonts w:asciiTheme="minorHAnsi" w:hAnsiTheme="minorHAnsi"/>
          <w:sz w:val="22"/>
        </w:rPr>
        <w:t>cieżka przyrodniczo-leśna w Jeziercach prowadzi przez ciekawy krajobrazowo obszar Lasów Czerniejewskich otaczających śródleśne j</w:t>
      </w:r>
      <w:r w:rsidR="00E54998">
        <w:rPr>
          <w:rFonts w:asciiTheme="minorHAnsi" w:hAnsiTheme="minorHAnsi"/>
          <w:sz w:val="22"/>
        </w:rPr>
        <w:t>eziorka, połączone rzeką Cybiną;</w:t>
      </w:r>
    </w:p>
    <w:p w:rsidR="00051656" w:rsidRDefault="00E1360B" w:rsidP="00E84FFC">
      <w:pPr>
        <w:pStyle w:val="Akapitzlist"/>
        <w:numPr>
          <w:ilvl w:val="0"/>
          <w:numId w:val="11"/>
        </w:numPr>
        <w:spacing w:before="60" w:after="60" w:line="276" w:lineRule="auto"/>
        <w:jc w:val="both"/>
        <w:rPr>
          <w:rFonts w:asciiTheme="minorHAnsi" w:hAnsiTheme="minorHAnsi"/>
          <w:sz w:val="22"/>
        </w:rPr>
      </w:pPr>
      <w:r>
        <w:rPr>
          <w:rFonts w:asciiTheme="minorHAnsi" w:hAnsiTheme="minorHAnsi"/>
          <w:sz w:val="22"/>
        </w:rPr>
        <w:t>ś</w:t>
      </w:r>
      <w:r w:rsidR="00051656" w:rsidRPr="00885434">
        <w:rPr>
          <w:rFonts w:asciiTheme="minorHAnsi" w:hAnsiTheme="minorHAnsi"/>
          <w:sz w:val="22"/>
        </w:rPr>
        <w:t xml:space="preserve">cieżka dydaktyczna im. Maksymiliana Jackowskiego we Wronczynie. Celem ścieżki jest propagowanie i ochrona dziedzictwa kulturalnego i przyrody wsi Wronczyn, związanej </w:t>
      </w:r>
      <w:r w:rsidR="00E54998">
        <w:rPr>
          <w:rFonts w:asciiTheme="minorHAnsi" w:hAnsiTheme="minorHAnsi"/>
          <w:sz w:val="22"/>
        </w:rPr>
        <w:br/>
      </w:r>
      <w:r w:rsidR="00051656" w:rsidRPr="00885434">
        <w:rPr>
          <w:rFonts w:asciiTheme="minorHAnsi" w:hAnsiTheme="minorHAnsi"/>
          <w:sz w:val="22"/>
        </w:rPr>
        <w:t>z rodziną Jackowskich.</w:t>
      </w:r>
    </w:p>
    <w:p w:rsidR="00D94BA1" w:rsidRPr="006318C6" w:rsidRDefault="00D94BA1" w:rsidP="006318C6">
      <w:pPr>
        <w:pStyle w:val="Akapitzlist"/>
        <w:spacing w:before="60" w:after="60" w:line="276" w:lineRule="auto"/>
        <w:ind w:left="0"/>
        <w:jc w:val="both"/>
        <w:rPr>
          <w:rFonts w:asciiTheme="minorHAnsi" w:hAnsiTheme="minorHAnsi"/>
          <w:sz w:val="22"/>
          <w:szCs w:val="22"/>
        </w:rPr>
      </w:pPr>
      <w:r w:rsidRPr="006318C6">
        <w:rPr>
          <w:rFonts w:asciiTheme="minorHAnsi" w:hAnsiTheme="minorHAnsi"/>
          <w:sz w:val="22"/>
          <w:szCs w:val="22"/>
        </w:rPr>
        <w:t xml:space="preserve">Gmina Pobiedziska należy do trzech stowarzyszeń międzygminnych, które działają w celu zwiększenia atrakcyjności turystycznej regionu: Poznańskiej Lokalnej Organizacji Turystycznej, Związku Międzygminnego Puszcza Zielonka oraz Stowarzyszenia Światowid. W ramach członkostwa składane są wnioski o dotacje z funduszy UE na działania turystyczne i inwestycje w infrastrukturę turystyczną. Wspólnie organizowane są także liczne imprezy turystyczne, uczestnictwo w targach turystycznych </w:t>
      </w:r>
      <w:r w:rsidRPr="006318C6">
        <w:rPr>
          <w:rFonts w:asciiTheme="minorHAnsi" w:hAnsiTheme="minorHAnsi"/>
          <w:sz w:val="22"/>
          <w:szCs w:val="22"/>
        </w:rPr>
        <w:lastRenderedPageBreak/>
        <w:t xml:space="preserve">oraz seminariach i konferencjach. Gmina zyskuje też na wspólnej promocji regionu z innymi gminami członkowskimi </w:t>
      </w:r>
      <w:r w:rsidR="00E54998">
        <w:rPr>
          <w:rFonts w:asciiTheme="minorHAnsi" w:hAnsiTheme="minorHAnsi"/>
          <w:sz w:val="22"/>
          <w:szCs w:val="22"/>
        </w:rPr>
        <w:t>wyżej wymienionych</w:t>
      </w:r>
      <w:r w:rsidRPr="006318C6">
        <w:rPr>
          <w:rFonts w:asciiTheme="minorHAnsi" w:hAnsiTheme="minorHAnsi"/>
          <w:sz w:val="22"/>
          <w:szCs w:val="22"/>
        </w:rPr>
        <w:t xml:space="preserve"> stowarzyszeń.</w:t>
      </w:r>
    </w:p>
    <w:p w:rsidR="00EB05C6" w:rsidRDefault="00D94BA1" w:rsidP="000613BB">
      <w:pPr>
        <w:spacing w:before="60" w:after="60"/>
        <w:jc w:val="both"/>
      </w:pPr>
      <w:r>
        <w:t>Z</w:t>
      </w:r>
      <w:r w:rsidR="00196283" w:rsidRPr="00885434">
        <w:t xml:space="preserve"> uwagi na swoje położenie </w:t>
      </w:r>
      <w:r w:rsidR="00E54998">
        <w:t xml:space="preserve">Gmina </w:t>
      </w:r>
      <w:r w:rsidR="00196283" w:rsidRPr="00885434">
        <w:t>jest otwarta dla turystów, dlatego też stale rozwija</w:t>
      </w:r>
      <w:r w:rsidR="00A557AC" w:rsidRPr="00885434">
        <w:t xml:space="preserve"> </w:t>
      </w:r>
      <w:r w:rsidR="00196283" w:rsidRPr="00885434">
        <w:t>i powiększa swoją bazę turystyczną i noclegową. Obecnie na terenie gminy działają:</w:t>
      </w:r>
      <w:r w:rsidR="00E557DC" w:rsidRPr="00885434">
        <w:t xml:space="preserve"> hotele, pensjonaty, gościńce, gospodarstwa agroturystyczne, ośrodki wypoczynkowe, pola campingowe, namiotowe oraz pokoje gościnne.</w:t>
      </w:r>
      <w:r w:rsidR="009D38DA" w:rsidRPr="00885434">
        <w:t xml:space="preserve"> </w:t>
      </w:r>
      <w:r w:rsidR="00854318" w:rsidRPr="00854318">
        <w:t>Na koniec 2010 ro</w:t>
      </w:r>
      <w:r w:rsidR="00854318">
        <w:t>ku na terenie gminy Pobiedziska</w:t>
      </w:r>
      <w:r w:rsidR="00854318" w:rsidRPr="00854318">
        <w:t xml:space="preserve"> zanotowano 16 gospodarstw agroturystycznych, z czego 5 gospodarstw rozpoczęło swoją działalność w 2010 roku.</w:t>
      </w:r>
      <w:r w:rsidR="00854318">
        <w:t xml:space="preserve"> </w:t>
      </w:r>
      <w:r w:rsidR="009D38DA" w:rsidRPr="00885434">
        <w:t>Na szczególną uwagę zasługuje pałac w Krześlicach pełniący rolę centrum edukacyjno-konferencyjnego.</w:t>
      </w:r>
    </w:p>
    <w:p w:rsidR="00D94BA1" w:rsidRPr="00B5084D" w:rsidRDefault="00900B01" w:rsidP="00D94BA1">
      <w:pPr>
        <w:spacing w:before="60" w:after="60"/>
        <w:jc w:val="both"/>
      </w:pPr>
      <w:r w:rsidRPr="00B5084D">
        <w:t>Funkcję Punktu Informacji T</w:t>
      </w:r>
      <w:r w:rsidR="00D94BA1" w:rsidRPr="00B5084D">
        <w:t>urystycznej pełni otwarty na dworcu PKP w Pobiedziskach Pobiedziski Klub Przestrzeni „Pod Semaforem”, który jest nowoczesną poczekalnią dla podróżnych z dostępem do Internetu i codziennej prasy.</w:t>
      </w:r>
    </w:p>
    <w:p w:rsidR="00D94BA1" w:rsidRDefault="00D94BA1" w:rsidP="000613BB">
      <w:pPr>
        <w:spacing w:before="60" w:after="60"/>
        <w:jc w:val="both"/>
      </w:pPr>
      <w:r w:rsidRPr="00B5084D">
        <w:t>Istotną rolę w rozwoju sportu i turystyki na terenie Pobiedzisk odgrywają organizowane tutaj imprezy zarówno gminne, jak i te o zasięgu ogólnopolskim czy międzynarodowym jak Bieg Jagiełły czy Wyścig Kolarski Masters.</w:t>
      </w:r>
    </w:p>
    <w:p w:rsidR="000613BB" w:rsidRPr="00885434" w:rsidRDefault="00535843" w:rsidP="000613BB">
      <w:pPr>
        <w:spacing w:before="60" w:after="60"/>
        <w:jc w:val="both"/>
      </w:pPr>
      <w:r>
        <w:pict>
          <v:shape id="_x0000_s1038" type="#_x0000_t185" style="width:125.15pt;height:454.15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38;mso-fit-shape-to-text:t" inset="18pt,18pt,,18pt">
              <w:txbxContent>
                <w:p w:rsidR="00291CA0" w:rsidRPr="000613BB" w:rsidRDefault="00291CA0" w:rsidP="000613BB">
                  <w:pPr>
                    <w:spacing w:after="0"/>
                    <w:jc w:val="both"/>
                    <w:rPr>
                      <w:b/>
                      <w:i/>
                      <w:iCs/>
                      <w:color w:val="943634" w:themeColor="accent2" w:themeShade="BF"/>
                    </w:rPr>
                  </w:pPr>
                  <w:r w:rsidRPr="000613BB">
                    <w:rPr>
                      <w:b/>
                      <w:i/>
                      <w:iCs/>
                      <w:color w:val="943634" w:themeColor="accent2" w:themeShade="BF"/>
                    </w:rPr>
                    <w:t>KONKLUZJE STRATEGICZNE</w:t>
                  </w:r>
                </w:p>
                <w:p w:rsidR="00291CA0" w:rsidRPr="000613BB" w:rsidRDefault="00291CA0" w:rsidP="000613BB">
                  <w:pPr>
                    <w:spacing w:after="0"/>
                    <w:jc w:val="both"/>
                    <w:rPr>
                      <w:b/>
                      <w:i/>
                      <w:iCs/>
                      <w:color w:val="808080" w:themeColor="background1" w:themeShade="80"/>
                    </w:rPr>
                  </w:pPr>
                  <w:r w:rsidRPr="000613BB">
                    <w:rPr>
                      <w:b/>
                      <w:i/>
                      <w:iCs/>
                      <w:color w:val="808080" w:themeColor="background1" w:themeShade="80"/>
                    </w:rPr>
                    <w:t>Z uwagi na walory przyrodnicze i krajobrazowe oraz poniesione inwestycje w nowoczesną bazę sportową i rekreacyjną Pobiedziska są gminą atrakcyjną turystycznie. Konieczne jest stałe inwestowanie w infrastrukturę usługową w celu dostosowania standardu obiektów sportowych, rekreacyjnych i turystycznych do potrzeb mieszkańców i gości.</w:t>
                  </w:r>
                </w:p>
              </w:txbxContent>
            </v:textbox>
            <w10:wrap type="none" anchorx="margin" anchory="margin"/>
            <w10:anchorlock/>
          </v:shape>
        </w:pict>
      </w:r>
    </w:p>
    <w:p w:rsidR="009A7ABC" w:rsidRPr="00E54998" w:rsidRDefault="00927DA9" w:rsidP="00927DA9">
      <w:pPr>
        <w:pStyle w:val="Nagwek2"/>
        <w:ind w:left="360"/>
        <w:rPr>
          <w:rFonts w:asciiTheme="minorHAnsi" w:hAnsiTheme="minorHAnsi"/>
          <w:i/>
          <w:color w:val="943634" w:themeColor="accent2" w:themeShade="BF"/>
          <w:sz w:val="32"/>
          <w:szCs w:val="32"/>
        </w:rPr>
      </w:pPr>
      <w:bookmarkStart w:id="21" w:name="_Toc321135338"/>
      <w:r w:rsidRPr="00E54998">
        <w:rPr>
          <w:rFonts w:asciiTheme="minorHAnsi" w:hAnsiTheme="minorHAnsi"/>
          <w:color w:val="943634" w:themeColor="accent2" w:themeShade="BF"/>
        </w:rPr>
        <w:t xml:space="preserve">5.11 </w:t>
      </w:r>
      <w:r w:rsidR="009A7ABC" w:rsidRPr="00E54998">
        <w:rPr>
          <w:rFonts w:asciiTheme="minorHAnsi" w:hAnsiTheme="minorHAnsi"/>
          <w:color w:val="943634" w:themeColor="accent2" w:themeShade="BF"/>
        </w:rPr>
        <w:t>Ochrona zdrowia i opieka społeczna</w:t>
      </w:r>
      <w:bookmarkEnd w:id="21"/>
    </w:p>
    <w:p w:rsidR="005825B7" w:rsidRPr="00F51D43" w:rsidRDefault="005825B7" w:rsidP="00FD778F">
      <w:pPr>
        <w:jc w:val="both"/>
        <w:rPr>
          <w:strike/>
        </w:rPr>
      </w:pPr>
      <w:r w:rsidRPr="00885434">
        <w:t>W zakresie podstawowej opieki zdrowotnej mieszkańcy gminy</w:t>
      </w:r>
      <w:r w:rsidR="00F51D43">
        <w:t xml:space="preserve"> Pobiedziska korzystają z usług</w:t>
      </w:r>
      <w:r w:rsidR="00FA3FD4">
        <w:t xml:space="preserve"> </w:t>
      </w:r>
      <w:r w:rsidR="00FA3FD4" w:rsidRPr="00872900">
        <w:t xml:space="preserve">dwóch zakładów opieki zdrowotnej tj. Ośrodka Lekarza Rodzinnego „Pronus” w Pobiedziskach i w Jerzykowie oraz „Centro Medico” znajdującego się przy ul. K.Jadwigii w Pobiedziskach. </w:t>
      </w:r>
      <w:r w:rsidRPr="00FA3FD4">
        <w:t>Istnieje również szereg poradni i gabinetów prywatnych.</w:t>
      </w:r>
    </w:p>
    <w:p w:rsidR="005825B7" w:rsidRDefault="005C35BA" w:rsidP="00FD778F">
      <w:pPr>
        <w:jc w:val="both"/>
      </w:pPr>
      <w:r w:rsidRPr="00885434">
        <w:t xml:space="preserve">W przypadku nagłych zachorowań, stanów ostrych oraz zagrażających życiu wypadków, </w:t>
      </w:r>
      <w:r w:rsidR="00F51D43">
        <w:br/>
      </w:r>
      <w:r w:rsidRPr="00885434">
        <w:t>w Pobiedziskach dyżuruje zespół wyjazd</w:t>
      </w:r>
      <w:r w:rsidR="004C7643">
        <w:t>owo-</w:t>
      </w:r>
      <w:r w:rsidRPr="00885434">
        <w:t xml:space="preserve">ratowniczy, tj. Stacja Wyczekiwania Pogotowia Ratunkowego. </w:t>
      </w:r>
      <w:r w:rsidR="005825B7" w:rsidRPr="00885434">
        <w:t xml:space="preserve">W gminie funkcjonuje </w:t>
      </w:r>
      <w:r w:rsidR="00FA3FD4" w:rsidRPr="00F51D43">
        <w:t>siedem</w:t>
      </w:r>
      <w:r w:rsidR="00FA3FD4">
        <w:t xml:space="preserve"> </w:t>
      </w:r>
      <w:r w:rsidR="005825B7" w:rsidRPr="00885434">
        <w:t>aptek –</w:t>
      </w:r>
      <w:r w:rsidR="00FA3FD4">
        <w:t xml:space="preserve"> </w:t>
      </w:r>
      <w:r w:rsidR="005825B7" w:rsidRPr="00885434">
        <w:t xml:space="preserve">pięć w Pobiedziskach oraz po jednej </w:t>
      </w:r>
      <w:r w:rsidR="00F51D43">
        <w:br/>
      </w:r>
      <w:r w:rsidR="005825B7" w:rsidRPr="00885434">
        <w:t>w Jerzykowie i w Biskupicach, które obsługują całą gminę.</w:t>
      </w:r>
    </w:p>
    <w:p w:rsidR="00227CF9" w:rsidRPr="00885434" w:rsidRDefault="00227CF9" w:rsidP="00FD778F">
      <w:pPr>
        <w:jc w:val="both"/>
      </w:pPr>
      <w:r>
        <w:t>W Pobiedziskach funkcjonuje Dom Opieki Społecznej</w:t>
      </w:r>
      <w:r w:rsidR="00857728">
        <w:t xml:space="preserve"> „</w:t>
      </w:r>
      <w:r w:rsidR="00857728" w:rsidRPr="00857728">
        <w:t>Hospes Hospiti S</w:t>
      </w:r>
      <w:r w:rsidR="00857728">
        <w:t>acer”</w:t>
      </w:r>
      <w:r>
        <w:t xml:space="preserve">, który </w:t>
      </w:r>
      <w:r w:rsidRPr="00227CF9">
        <w:t>dysponuje 18 miejscami, przeznaczonymi dla osób starszych obojga płci w tym niepełnosprawnych i przewlekle chorych</w:t>
      </w:r>
      <w:r>
        <w:t>.</w:t>
      </w:r>
    </w:p>
    <w:p w:rsidR="000613BB" w:rsidRDefault="000613BB">
      <w:pPr>
        <w:rPr>
          <w:bCs/>
          <w:sz w:val="20"/>
          <w:szCs w:val="20"/>
        </w:rPr>
      </w:pPr>
      <w:r>
        <w:rPr>
          <w:b/>
          <w:sz w:val="20"/>
          <w:szCs w:val="20"/>
        </w:rPr>
        <w:br w:type="page"/>
      </w:r>
    </w:p>
    <w:p w:rsidR="009A7ABC" w:rsidRPr="000613BB" w:rsidRDefault="00044F00" w:rsidP="00FD778F">
      <w:pPr>
        <w:pStyle w:val="Legenda"/>
        <w:spacing w:after="0"/>
        <w:rPr>
          <w:b w:val="0"/>
          <w:color w:val="auto"/>
          <w:sz w:val="20"/>
          <w:szCs w:val="20"/>
        </w:rPr>
      </w:pPr>
      <w:r w:rsidRPr="000613BB">
        <w:rPr>
          <w:b w:val="0"/>
          <w:color w:val="auto"/>
          <w:sz w:val="20"/>
          <w:szCs w:val="20"/>
        </w:rPr>
        <w:lastRenderedPageBreak/>
        <w:t xml:space="preserve">Wykres </w:t>
      </w:r>
      <w:r w:rsidR="00E07640" w:rsidRPr="000613BB">
        <w:rPr>
          <w:b w:val="0"/>
          <w:color w:val="auto"/>
          <w:sz w:val="20"/>
          <w:szCs w:val="20"/>
        </w:rPr>
        <w:fldChar w:fldCharType="begin"/>
      </w:r>
      <w:r w:rsidRPr="000613BB">
        <w:rPr>
          <w:b w:val="0"/>
          <w:color w:val="auto"/>
          <w:sz w:val="20"/>
          <w:szCs w:val="20"/>
        </w:rPr>
        <w:instrText xml:space="preserve"> SEQ Wykres \* ARABIC </w:instrText>
      </w:r>
      <w:r w:rsidR="00E07640" w:rsidRPr="000613BB">
        <w:rPr>
          <w:b w:val="0"/>
          <w:color w:val="auto"/>
          <w:sz w:val="20"/>
          <w:szCs w:val="20"/>
        </w:rPr>
        <w:fldChar w:fldCharType="separate"/>
      </w:r>
      <w:r w:rsidR="00D540D9">
        <w:rPr>
          <w:b w:val="0"/>
          <w:noProof/>
          <w:color w:val="auto"/>
          <w:sz w:val="20"/>
          <w:szCs w:val="20"/>
        </w:rPr>
        <w:t>30</w:t>
      </w:r>
      <w:r w:rsidR="00E07640" w:rsidRPr="000613BB">
        <w:rPr>
          <w:b w:val="0"/>
          <w:color w:val="auto"/>
          <w:sz w:val="20"/>
          <w:szCs w:val="20"/>
        </w:rPr>
        <w:fldChar w:fldCharType="end"/>
      </w:r>
      <w:r w:rsidRPr="000613BB">
        <w:rPr>
          <w:b w:val="0"/>
          <w:color w:val="auto"/>
          <w:sz w:val="20"/>
          <w:szCs w:val="20"/>
        </w:rPr>
        <w:t>.</w:t>
      </w:r>
    </w:p>
    <w:p w:rsidR="001963F4" w:rsidRPr="00885434" w:rsidRDefault="001963F4" w:rsidP="00FD778F">
      <w:pPr>
        <w:spacing w:after="0"/>
      </w:pPr>
      <w:r w:rsidRPr="00885434">
        <w:rPr>
          <w:noProof/>
        </w:rPr>
        <w:drawing>
          <wp:inline distT="0" distB="0" distL="0" distR="0">
            <wp:extent cx="3049152" cy="4518838"/>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5C33FF" w:rsidRPr="00885434">
        <w:rPr>
          <w:noProof/>
        </w:rPr>
        <w:t xml:space="preserve"> </w:t>
      </w:r>
      <w:r w:rsidR="005C33FF" w:rsidRPr="00885434">
        <w:rPr>
          <w:noProof/>
        </w:rPr>
        <w:drawing>
          <wp:inline distT="0" distB="0" distL="0" distR="0">
            <wp:extent cx="2544504" cy="4512488"/>
            <wp:effectExtent l="0" t="0" r="0" b="0"/>
            <wp:docPr id="36"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83203" w:rsidRPr="000613BB" w:rsidRDefault="00783203" w:rsidP="00783203">
      <w:pPr>
        <w:rPr>
          <w:sz w:val="20"/>
          <w:szCs w:val="20"/>
        </w:rPr>
      </w:pPr>
      <w:r w:rsidRPr="000613BB">
        <w:rPr>
          <w:sz w:val="20"/>
          <w:szCs w:val="20"/>
        </w:rPr>
        <w:t>Źródło: opracowanie własne na podstawie danych GUS.</w:t>
      </w:r>
    </w:p>
    <w:p w:rsidR="004419EE" w:rsidRDefault="004419EE" w:rsidP="004419EE">
      <w:pPr>
        <w:shd w:val="clear" w:color="auto" w:fill="FFFFFF"/>
        <w:spacing w:before="60" w:after="60"/>
        <w:jc w:val="both"/>
        <w:rPr>
          <w:rFonts w:cs="TimesNewRomanPSMT"/>
          <w:szCs w:val="18"/>
        </w:rPr>
      </w:pPr>
      <w:r w:rsidRPr="004419EE">
        <w:rPr>
          <w:rFonts w:cs="TimesNewRomanPSMT"/>
          <w:szCs w:val="18"/>
        </w:rPr>
        <w:t>Realizację zadań z zakresu pomocy</w:t>
      </w:r>
      <w:r>
        <w:rPr>
          <w:rFonts w:cs="TimesNewRomanPSMT"/>
          <w:szCs w:val="18"/>
        </w:rPr>
        <w:t xml:space="preserve"> </w:t>
      </w:r>
      <w:r w:rsidR="006F620E">
        <w:rPr>
          <w:rFonts w:cs="TimesNewRomanPSMT"/>
          <w:szCs w:val="18"/>
        </w:rPr>
        <w:t>społecznej wykonuje Ośrodek Pomocy S</w:t>
      </w:r>
      <w:r w:rsidRPr="004419EE">
        <w:rPr>
          <w:rFonts w:cs="TimesNewRomanPSMT"/>
          <w:szCs w:val="18"/>
        </w:rPr>
        <w:t>połecznej na podstawie Uchwały Nr XV/52/90 Rady</w:t>
      </w:r>
      <w:r>
        <w:rPr>
          <w:rFonts w:cs="TimesNewRomanPSMT"/>
          <w:szCs w:val="18"/>
        </w:rPr>
        <w:t xml:space="preserve"> </w:t>
      </w:r>
      <w:r w:rsidRPr="004419EE">
        <w:rPr>
          <w:rFonts w:cs="TimesNewRomanPSMT"/>
          <w:szCs w:val="18"/>
        </w:rPr>
        <w:t>Narodowej Miasta i Gminy w Pobiedziskach z dnia 30 kwietnia 1990 roku w sprawie utworzenia</w:t>
      </w:r>
      <w:r>
        <w:rPr>
          <w:rFonts w:cs="TimesNewRomanPSMT"/>
          <w:szCs w:val="18"/>
        </w:rPr>
        <w:t xml:space="preserve"> </w:t>
      </w:r>
      <w:r w:rsidRPr="004419EE">
        <w:rPr>
          <w:rFonts w:cs="TimesNewRomanPSMT"/>
          <w:szCs w:val="18"/>
        </w:rPr>
        <w:t>Ośrodka Pomocy Społecznej w Pobiedziskach z późn. zm. do uchwały. Ośrodek Pomocy</w:t>
      </w:r>
      <w:r>
        <w:rPr>
          <w:rFonts w:cs="TimesNewRomanPSMT"/>
          <w:szCs w:val="18"/>
        </w:rPr>
        <w:t xml:space="preserve"> </w:t>
      </w:r>
      <w:r w:rsidRPr="004419EE">
        <w:rPr>
          <w:rFonts w:cs="TimesNewRomanPSMT"/>
          <w:szCs w:val="18"/>
        </w:rPr>
        <w:t>Społecznej w Pobiedziskach posiada siedzibę w Pobiedziskach przy ul. Kaczyńskiej 26</w:t>
      </w:r>
      <w:r>
        <w:rPr>
          <w:rFonts w:cs="TimesNewRomanPSMT"/>
          <w:szCs w:val="18"/>
        </w:rPr>
        <w:t>,</w:t>
      </w:r>
      <w:r w:rsidRPr="004419EE">
        <w:rPr>
          <w:rFonts w:cs="TimesNewRomanPSMT"/>
          <w:szCs w:val="18"/>
        </w:rPr>
        <w:t xml:space="preserve"> </w:t>
      </w:r>
      <w:r w:rsidR="00054298">
        <w:rPr>
          <w:rFonts w:cs="TimesNewRomanPSMT"/>
          <w:szCs w:val="18"/>
        </w:rPr>
        <w:br/>
      </w:r>
      <w:r w:rsidRPr="004419EE">
        <w:rPr>
          <w:rFonts w:cs="TimesNewRomanPSMT"/>
          <w:szCs w:val="18"/>
        </w:rPr>
        <w:t>a godziny</w:t>
      </w:r>
      <w:r>
        <w:rPr>
          <w:rFonts w:cs="TimesNewRomanPSMT"/>
          <w:szCs w:val="18"/>
        </w:rPr>
        <w:t xml:space="preserve"> </w:t>
      </w:r>
      <w:r w:rsidRPr="004419EE">
        <w:rPr>
          <w:rFonts w:cs="TimesNewRomanPSMT"/>
          <w:szCs w:val="18"/>
        </w:rPr>
        <w:t>pracy ośrodka są dostosowane do godzin pracy urzędu gminy.</w:t>
      </w:r>
    </w:p>
    <w:p w:rsidR="004419EE" w:rsidRDefault="00AF7A5C" w:rsidP="004419EE">
      <w:pPr>
        <w:shd w:val="clear" w:color="auto" w:fill="FFFFFF"/>
        <w:spacing w:before="60" w:after="60"/>
        <w:jc w:val="both"/>
        <w:rPr>
          <w:rFonts w:cs="TimesNewRomanPSMT"/>
          <w:szCs w:val="18"/>
        </w:rPr>
      </w:pPr>
      <w:r>
        <w:rPr>
          <w:rFonts w:cs="TimesNewRomanPSMT"/>
          <w:szCs w:val="18"/>
        </w:rPr>
        <w:t>Na podstawie</w:t>
      </w:r>
      <w:r w:rsidR="004419EE" w:rsidRPr="004419EE">
        <w:rPr>
          <w:rFonts w:cs="TimesNewRomanPSMT"/>
          <w:szCs w:val="18"/>
        </w:rPr>
        <w:t xml:space="preserve"> statutu Ośrodka Pomocy Społecznej w Pobiedziskach uchwalonego przez</w:t>
      </w:r>
      <w:r w:rsidR="004419EE">
        <w:rPr>
          <w:rFonts w:cs="TimesNewRomanPSMT"/>
          <w:szCs w:val="18"/>
        </w:rPr>
        <w:t xml:space="preserve"> </w:t>
      </w:r>
      <w:r w:rsidR="004419EE" w:rsidRPr="004419EE">
        <w:rPr>
          <w:rFonts w:cs="TimesNewRomanPSMT"/>
          <w:szCs w:val="18"/>
        </w:rPr>
        <w:t>Radę Miejską Gminy Pobiedziska z dniem 24 października 2008 roku Nr XXVII/347/08 „Ośrodek”</w:t>
      </w:r>
      <w:r w:rsidR="004419EE">
        <w:rPr>
          <w:rFonts w:cs="TimesNewRomanPSMT"/>
          <w:szCs w:val="18"/>
        </w:rPr>
        <w:t xml:space="preserve"> </w:t>
      </w:r>
      <w:r w:rsidR="004419EE" w:rsidRPr="004419EE">
        <w:rPr>
          <w:rFonts w:cs="TimesNewRomanPSMT"/>
          <w:szCs w:val="18"/>
        </w:rPr>
        <w:t>jest samodzieln</w:t>
      </w:r>
      <w:r>
        <w:rPr>
          <w:rFonts w:cs="TimesNewRomanPSMT"/>
          <w:szCs w:val="18"/>
        </w:rPr>
        <w:t>ą</w:t>
      </w:r>
      <w:r w:rsidR="004419EE" w:rsidRPr="004419EE">
        <w:rPr>
          <w:rFonts w:cs="TimesNewRomanPSMT"/>
          <w:szCs w:val="18"/>
        </w:rPr>
        <w:t xml:space="preserve"> jednostką organizacyjną pomocy społecznej</w:t>
      </w:r>
      <w:r>
        <w:rPr>
          <w:rFonts w:cs="TimesNewRomanPSMT"/>
          <w:szCs w:val="18"/>
        </w:rPr>
        <w:t>,</w:t>
      </w:r>
      <w:r w:rsidR="004419EE" w:rsidRPr="004419EE">
        <w:rPr>
          <w:rFonts w:cs="TimesNewRomanPSMT"/>
          <w:szCs w:val="18"/>
        </w:rPr>
        <w:t xml:space="preserve"> nie posiadając</w:t>
      </w:r>
      <w:r>
        <w:rPr>
          <w:rFonts w:cs="TimesNewRomanPSMT"/>
          <w:szCs w:val="18"/>
        </w:rPr>
        <w:t>ą</w:t>
      </w:r>
      <w:r w:rsidR="004419EE" w:rsidRPr="004419EE">
        <w:rPr>
          <w:rFonts w:cs="TimesNewRomanPSMT"/>
          <w:szCs w:val="18"/>
        </w:rPr>
        <w:t xml:space="preserve"> osobowości prawnej,</w:t>
      </w:r>
      <w:r w:rsidR="004419EE">
        <w:rPr>
          <w:rFonts w:cs="TimesNewRomanPSMT"/>
          <w:szCs w:val="18"/>
        </w:rPr>
        <w:t xml:space="preserve"> </w:t>
      </w:r>
      <w:r w:rsidR="004419EE" w:rsidRPr="004419EE">
        <w:rPr>
          <w:rFonts w:cs="TimesNewRomanPSMT"/>
          <w:szCs w:val="18"/>
        </w:rPr>
        <w:t>działając</w:t>
      </w:r>
      <w:r>
        <w:rPr>
          <w:rFonts w:cs="TimesNewRomanPSMT"/>
          <w:szCs w:val="18"/>
        </w:rPr>
        <w:t>ą</w:t>
      </w:r>
      <w:r w:rsidR="004419EE" w:rsidRPr="004419EE">
        <w:rPr>
          <w:rFonts w:cs="TimesNewRomanPSMT"/>
          <w:szCs w:val="18"/>
        </w:rPr>
        <w:t xml:space="preserve"> </w:t>
      </w:r>
      <w:r w:rsidR="00054298">
        <w:rPr>
          <w:rFonts w:cs="TimesNewRomanPSMT"/>
          <w:szCs w:val="18"/>
        </w:rPr>
        <w:br/>
      </w:r>
      <w:r w:rsidR="004419EE" w:rsidRPr="004419EE">
        <w:rPr>
          <w:rFonts w:cs="TimesNewRomanPSMT"/>
          <w:szCs w:val="18"/>
        </w:rPr>
        <w:t>w formie jednostki budżetowej.</w:t>
      </w:r>
    </w:p>
    <w:p w:rsidR="004419EE" w:rsidRDefault="00AF7A5C" w:rsidP="000613BB">
      <w:pPr>
        <w:shd w:val="clear" w:color="auto" w:fill="FFFFFF"/>
        <w:spacing w:before="60" w:after="60"/>
        <w:jc w:val="both"/>
        <w:rPr>
          <w:rFonts w:cs="TimesNewRomanPSMT"/>
          <w:szCs w:val="18"/>
        </w:rPr>
      </w:pPr>
      <w:r w:rsidRPr="00AF7A5C">
        <w:rPr>
          <w:rFonts w:cs="TimesNewRomanPSMT"/>
          <w:szCs w:val="18"/>
        </w:rPr>
        <w:t>Misją Ośrodka Pomocy Społecznej jest systemowe podejście do rozwiązywania problemów</w:t>
      </w:r>
      <w:r>
        <w:rPr>
          <w:rFonts w:cs="TimesNewRomanPSMT"/>
          <w:szCs w:val="18"/>
        </w:rPr>
        <w:t xml:space="preserve"> </w:t>
      </w:r>
      <w:r w:rsidRPr="00AF7A5C">
        <w:rPr>
          <w:rFonts w:cs="TimesNewRomanPSMT"/>
          <w:szCs w:val="18"/>
        </w:rPr>
        <w:t>społecznych w celu przeciwdziałania margina</w:t>
      </w:r>
      <w:r>
        <w:rPr>
          <w:rFonts w:cs="TimesNewRomanPSMT"/>
          <w:szCs w:val="18"/>
        </w:rPr>
        <w:t>lizacji, wykluczeniu i patologiom</w:t>
      </w:r>
      <w:r w:rsidRPr="00AF7A5C">
        <w:rPr>
          <w:rFonts w:cs="TimesNewRomanPSMT"/>
          <w:szCs w:val="18"/>
        </w:rPr>
        <w:t xml:space="preserve"> społecznym oraz</w:t>
      </w:r>
      <w:r>
        <w:rPr>
          <w:rFonts w:cs="TimesNewRomanPSMT"/>
          <w:szCs w:val="18"/>
        </w:rPr>
        <w:t xml:space="preserve"> </w:t>
      </w:r>
      <w:r w:rsidRPr="00AF7A5C">
        <w:rPr>
          <w:rFonts w:cs="TimesNewRomanPSMT"/>
          <w:szCs w:val="18"/>
        </w:rPr>
        <w:t>poprawy jakości życia mieszkańców Miasta i Gminy Pobiedziska.</w:t>
      </w:r>
    </w:p>
    <w:p w:rsidR="00054298" w:rsidRPr="006F620E" w:rsidRDefault="006F620E" w:rsidP="006F620E">
      <w:pPr>
        <w:spacing w:before="60" w:after="60"/>
        <w:jc w:val="both"/>
      </w:pPr>
      <w:r w:rsidRPr="006F620E">
        <w:t xml:space="preserve">W ostatnich latach powstały dwa kluby środowiskowe: w Kocanowie oraz w siedzibie OPS. Prowadzone są warsztaty z terapii zajęciowej z których </w:t>
      </w:r>
      <w:r w:rsidRPr="006F620E">
        <w:rPr>
          <w:rFonts w:cs="TimesNewRomanPSMT"/>
          <w:szCs w:val="18"/>
        </w:rPr>
        <w:t>korzysta młodzież z różnymi schorzeniami m.in.: upośledzeniem umysłowym, schorzeniami fizycznymi, epilepsją</w:t>
      </w:r>
      <w:r w:rsidRPr="006F620E">
        <w:t>. Pobiedziski Klub Przestrzeni „POD SEMAFOREM” to nowa propozycja Gminy Pobiedziska na uatrakcyjnienie miejskiego dworca PKP. W dawnej świetlicy dworca powstała świetlica środowiskowa, gdzie można poczytać codzienną prasę, skorzystać z dostępu do Internetu.</w:t>
      </w:r>
    </w:p>
    <w:p w:rsidR="00455373" w:rsidRPr="00455373" w:rsidRDefault="00455373" w:rsidP="00455373">
      <w:pPr>
        <w:pStyle w:val="Legenda"/>
        <w:spacing w:after="0"/>
        <w:rPr>
          <w:rFonts w:eastAsia="Times New Roman" w:cs="Times New Roman"/>
          <w:b w:val="0"/>
          <w:color w:val="auto"/>
          <w:sz w:val="20"/>
        </w:rPr>
      </w:pPr>
      <w:r w:rsidRPr="00455373">
        <w:rPr>
          <w:b w:val="0"/>
          <w:color w:val="auto"/>
          <w:sz w:val="20"/>
        </w:rPr>
        <w:lastRenderedPageBreak/>
        <w:t xml:space="preserve">Wykres </w:t>
      </w:r>
      <w:r w:rsidR="00E07640" w:rsidRPr="00455373">
        <w:rPr>
          <w:b w:val="0"/>
          <w:color w:val="auto"/>
          <w:sz w:val="20"/>
        </w:rPr>
        <w:fldChar w:fldCharType="begin"/>
      </w:r>
      <w:r w:rsidRPr="00455373">
        <w:rPr>
          <w:b w:val="0"/>
          <w:color w:val="auto"/>
          <w:sz w:val="20"/>
        </w:rPr>
        <w:instrText xml:space="preserve"> SEQ Wykres \* ARABIC </w:instrText>
      </w:r>
      <w:r w:rsidR="00E07640" w:rsidRPr="00455373">
        <w:rPr>
          <w:b w:val="0"/>
          <w:color w:val="auto"/>
          <w:sz w:val="20"/>
        </w:rPr>
        <w:fldChar w:fldCharType="separate"/>
      </w:r>
      <w:r w:rsidR="00D540D9">
        <w:rPr>
          <w:b w:val="0"/>
          <w:noProof/>
          <w:color w:val="auto"/>
          <w:sz w:val="20"/>
        </w:rPr>
        <w:t>31</w:t>
      </w:r>
      <w:r w:rsidR="00E07640" w:rsidRPr="00455373">
        <w:rPr>
          <w:b w:val="0"/>
          <w:color w:val="auto"/>
          <w:sz w:val="20"/>
        </w:rPr>
        <w:fldChar w:fldCharType="end"/>
      </w:r>
      <w:r w:rsidRPr="00455373">
        <w:rPr>
          <w:b w:val="0"/>
          <w:color w:val="auto"/>
          <w:sz w:val="20"/>
        </w:rPr>
        <w:t>.</w:t>
      </w:r>
    </w:p>
    <w:p w:rsidR="00C56D36" w:rsidRDefault="00455373" w:rsidP="00455373">
      <w:pPr>
        <w:shd w:val="clear" w:color="auto" w:fill="FFFFFF"/>
        <w:spacing w:before="60" w:after="0"/>
        <w:jc w:val="center"/>
        <w:rPr>
          <w:rFonts w:eastAsia="Times New Roman" w:cs="Times New Roman"/>
        </w:rPr>
      </w:pPr>
      <w:r w:rsidRPr="00455373">
        <w:rPr>
          <w:rFonts w:eastAsia="Times New Roman" w:cs="Times New Roman"/>
          <w:noProof/>
        </w:rPr>
        <w:drawing>
          <wp:inline distT="0" distB="0" distL="0" distR="0">
            <wp:extent cx="3508744" cy="2147777"/>
            <wp:effectExtent l="0" t="0" r="0" b="0"/>
            <wp:docPr id="2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55373" w:rsidRPr="00054298" w:rsidRDefault="00455373" w:rsidP="00054298">
      <w:pPr>
        <w:rPr>
          <w:rFonts w:eastAsia="Times New Roman" w:cs="Times New Roman"/>
          <w:sz w:val="20"/>
          <w:szCs w:val="20"/>
        </w:rPr>
      </w:pPr>
      <w:r w:rsidRPr="0028366E">
        <w:rPr>
          <w:rFonts w:eastAsia="Times New Roman" w:cs="Times New Roman"/>
          <w:sz w:val="20"/>
          <w:szCs w:val="20"/>
        </w:rPr>
        <w:t>Źródło: opracowanie własne na podstawie danych OPS w Pobiedziskach.</w:t>
      </w:r>
    </w:p>
    <w:p w:rsidR="00071B73" w:rsidRPr="0028366E" w:rsidRDefault="00071B73" w:rsidP="00071B73">
      <w:pPr>
        <w:pStyle w:val="Legenda"/>
        <w:spacing w:after="0"/>
        <w:rPr>
          <w:rFonts w:eastAsia="Times New Roman" w:cs="Times New Roman"/>
          <w:b w:val="0"/>
          <w:color w:val="auto"/>
          <w:sz w:val="20"/>
          <w:szCs w:val="20"/>
        </w:rPr>
      </w:pPr>
      <w:r w:rsidRPr="0028366E">
        <w:rPr>
          <w:b w:val="0"/>
          <w:color w:val="auto"/>
          <w:sz w:val="20"/>
          <w:szCs w:val="20"/>
        </w:rPr>
        <w:t xml:space="preserve">Wykres </w:t>
      </w:r>
      <w:r w:rsidR="00E07640" w:rsidRPr="0028366E">
        <w:rPr>
          <w:b w:val="0"/>
          <w:color w:val="auto"/>
          <w:sz w:val="20"/>
          <w:szCs w:val="20"/>
        </w:rPr>
        <w:fldChar w:fldCharType="begin"/>
      </w:r>
      <w:r w:rsidRPr="0028366E">
        <w:rPr>
          <w:b w:val="0"/>
          <w:color w:val="auto"/>
          <w:sz w:val="20"/>
          <w:szCs w:val="20"/>
        </w:rPr>
        <w:instrText xml:space="preserve"> SEQ Wykres \* ARABIC </w:instrText>
      </w:r>
      <w:r w:rsidR="00E07640" w:rsidRPr="0028366E">
        <w:rPr>
          <w:b w:val="0"/>
          <w:color w:val="auto"/>
          <w:sz w:val="20"/>
          <w:szCs w:val="20"/>
        </w:rPr>
        <w:fldChar w:fldCharType="separate"/>
      </w:r>
      <w:r w:rsidR="00D540D9">
        <w:rPr>
          <w:b w:val="0"/>
          <w:noProof/>
          <w:color w:val="auto"/>
          <w:sz w:val="20"/>
          <w:szCs w:val="20"/>
        </w:rPr>
        <w:t>32</w:t>
      </w:r>
      <w:r w:rsidR="00E07640" w:rsidRPr="0028366E">
        <w:rPr>
          <w:b w:val="0"/>
          <w:color w:val="auto"/>
          <w:sz w:val="20"/>
          <w:szCs w:val="20"/>
        </w:rPr>
        <w:fldChar w:fldCharType="end"/>
      </w:r>
      <w:r w:rsidRPr="0028366E">
        <w:rPr>
          <w:b w:val="0"/>
          <w:color w:val="auto"/>
          <w:sz w:val="20"/>
          <w:szCs w:val="20"/>
        </w:rPr>
        <w:t>.</w:t>
      </w:r>
    </w:p>
    <w:p w:rsidR="00CB67DE" w:rsidRDefault="007D04BA" w:rsidP="009919B6">
      <w:pPr>
        <w:spacing w:after="0"/>
        <w:jc w:val="center"/>
        <w:rPr>
          <w:rFonts w:eastAsia="Times New Roman" w:cs="Times New Roman"/>
        </w:rPr>
      </w:pPr>
      <w:r w:rsidRPr="00885434">
        <w:rPr>
          <w:rFonts w:eastAsia="Times New Roman" w:cs="Times New Roman"/>
          <w:noProof/>
        </w:rPr>
        <w:drawing>
          <wp:inline distT="0" distB="0" distL="0" distR="0">
            <wp:extent cx="4082902" cy="2668772"/>
            <wp:effectExtent l="0" t="0" r="0" b="0"/>
            <wp:docPr id="38"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71B73" w:rsidRDefault="00071B73" w:rsidP="00071B73">
      <w:pPr>
        <w:rPr>
          <w:rFonts w:eastAsia="Times New Roman" w:cs="Times New Roman"/>
          <w:sz w:val="20"/>
          <w:szCs w:val="20"/>
        </w:rPr>
      </w:pPr>
      <w:r w:rsidRPr="0028366E">
        <w:rPr>
          <w:rFonts w:eastAsia="Times New Roman" w:cs="Times New Roman"/>
          <w:sz w:val="20"/>
          <w:szCs w:val="20"/>
        </w:rPr>
        <w:t>Źródło: opracowanie własne na podstawie danych OPS w Pobiedziskach.</w:t>
      </w:r>
    </w:p>
    <w:p w:rsidR="00AF7A5C" w:rsidRDefault="00AF7A5C" w:rsidP="00AF7A5C">
      <w:pPr>
        <w:shd w:val="clear" w:color="auto" w:fill="FFFFFF"/>
        <w:spacing w:before="60" w:after="60"/>
        <w:jc w:val="both"/>
        <w:rPr>
          <w:rFonts w:cs="TimesNewRomanPSMT"/>
          <w:szCs w:val="18"/>
        </w:rPr>
      </w:pPr>
      <w:r w:rsidRPr="004419EE">
        <w:rPr>
          <w:rFonts w:cs="TimesNewRomanPSMT"/>
          <w:szCs w:val="18"/>
        </w:rPr>
        <w:t>Ośrodek Pomocy Społecznej w Pobiedziskach od 2008 roku realizuje projekt systemowy</w:t>
      </w:r>
      <w:r>
        <w:rPr>
          <w:rFonts w:cs="TimesNewRomanPSMT"/>
          <w:szCs w:val="18"/>
        </w:rPr>
        <w:t xml:space="preserve"> </w:t>
      </w:r>
      <w:r w:rsidRPr="004419EE">
        <w:rPr>
          <w:rFonts w:cs="TimesNewRomanPSMT"/>
          <w:szCs w:val="18"/>
        </w:rPr>
        <w:t xml:space="preserve">współfinansowany przez Unię Europejską w </w:t>
      </w:r>
      <w:r w:rsidR="00054298">
        <w:rPr>
          <w:rFonts w:cs="TimesNewRomanPSMT"/>
          <w:szCs w:val="18"/>
        </w:rPr>
        <w:t>r</w:t>
      </w:r>
      <w:r w:rsidRPr="004419EE">
        <w:rPr>
          <w:rFonts w:cs="TimesNewRomanPSMT"/>
          <w:szCs w:val="18"/>
        </w:rPr>
        <w:t>amach Programu Operacyjnego Kapitał</w:t>
      </w:r>
      <w:r w:rsidR="00054298">
        <w:rPr>
          <w:rFonts w:cs="TimesNewRomanPSMT"/>
          <w:szCs w:val="18"/>
        </w:rPr>
        <w:t xml:space="preserve"> Ludzki, p</w:t>
      </w:r>
      <w:r w:rsidRPr="004419EE">
        <w:rPr>
          <w:rFonts w:cs="TimesNewRomanPSMT"/>
          <w:szCs w:val="18"/>
        </w:rPr>
        <w:t xml:space="preserve">riorytet VII, </w:t>
      </w:r>
      <w:r w:rsidR="00054298">
        <w:rPr>
          <w:rFonts w:cs="TimesNewRomanPSMT"/>
          <w:szCs w:val="18"/>
        </w:rPr>
        <w:t>d</w:t>
      </w:r>
      <w:r w:rsidRPr="004419EE">
        <w:rPr>
          <w:rFonts w:cs="TimesNewRomanPSMT"/>
          <w:szCs w:val="18"/>
        </w:rPr>
        <w:t>ziałanie 7.1. Rozwój i upowszechnianie a</w:t>
      </w:r>
      <w:r w:rsidR="00054298">
        <w:rPr>
          <w:rFonts w:cs="TimesNewRomanPSMT"/>
          <w:szCs w:val="18"/>
        </w:rPr>
        <w:t>ktywnej integracji. Projekt pt. „Tacy sami”</w:t>
      </w:r>
      <w:r>
        <w:rPr>
          <w:rFonts w:cs="TimesNewRomanPSMT"/>
          <w:szCs w:val="18"/>
        </w:rPr>
        <w:t xml:space="preserve"> </w:t>
      </w:r>
      <w:r w:rsidRPr="004419EE">
        <w:rPr>
          <w:rFonts w:cs="TimesNewRomanPSMT"/>
          <w:szCs w:val="18"/>
        </w:rPr>
        <w:t>ma na celu zwiększenie aktywności zawodowej i społecznej osób niepracujących, korzystających z</w:t>
      </w:r>
      <w:r>
        <w:rPr>
          <w:rFonts w:cs="TimesNewRomanPSMT"/>
          <w:szCs w:val="18"/>
        </w:rPr>
        <w:t xml:space="preserve"> </w:t>
      </w:r>
      <w:r w:rsidRPr="004419EE">
        <w:rPr>
          <w:rFonts w:cs="TimesNewRomanPSMT"/>
          <w:szCs w:val="18"/>
        </w:rPr>
        <w:t>pomocy społecznej. W 2010 roku na realizację projektu „Tacy sami” Ośrodek Pomocy Społecznej</w:t>
      </w:r>
      <w:r>
        <w:rPr>
          <w:rFonts w:cs="TimesNewRomanPSMT"/>
          <w:szCs w:val="18"/>
        </w:rPr>
        <w:t xml:space="preserve"> </w:t>
      </w:r>
      <w:r w:rsidR="00054298">
        <w:rPr>
          <w:rFonts w:cs="TimesNewRomanPSMT"/>
          <w:szCs w:val="18"/>
        </w:rPr>
        <w:br/>
      </w:r>
      <w:r w:rsidRPr="004419EE">
        <w:rPr>
          <w:rFonts w:cs="TimesNewRomanPSMT"/>
          <w:szCs w:val="18"/>
        </w:rPr>
        <w:t>w Pobiedziskach pozyskał środki finansowe w wysokości 164 208,56 zł.</w:t>
      </w:r>
    </w:p>
    <w:p w:rsidR="00AF7A5C" w:rsidRDefault="00054298" w:rsidP="00054298">
      <w:pPr>
        <w:jc w:val="both"/>
        <w:rPr>
          <w:rFonts w:eastAsia="Times New Roman" w:cs="Times New Roman"/>
          <w:szCs w:val="20"/>
        </w:rPr>
      </w:pPr>
      <w:r w:rsidRPr="00054298">
        <w:rPr>
          <w:rFonts w:eastAsia="Times New Roman" w:cs="Times New Roman"/>
          <w:szCs w:val="20"/>
        </w:rPr>
        <w:t>Od 1 lipca 2010 roku przekazano do Ośrodka Pomocy Społecznej nowe zadania tj</w:t>
      </w:r>
      <w:r>
        <w:rPr>
          <w:rFonts w:eastAsia="Times New Roman" w:cs="Times New Roman"/>
          <w:szCs w:val="20"/>
        </w:rPr>
        <w:t>.</w:t>
      </w:r>
      <w:r w:rsidRPr="00054298">
        <w:rPr>
          <w:rFonts w:eastAsia="Times New Roman" w:cs="Times New Roman"/>
          <w:szCs w:val="20"/>
        </w:rPr>
        <w:t>:</w:t>
      </w:r>
      <w:r>
        <w:rPr>
          <w:rFonts w:eastAsia="Times New Roman" w:cs="Times New Roman"/>
          <w:szCs w:val="20"/>
        </w:rPr>
        <w:t xml:space="preserve"> </w:t>
      </w:r>
      <w:r w:rsidRPr="00054298">
        <w:rPr>
          <w:rFonts w:eastAsia="Times New Roman" w:cs="Times New Roman"/>
          <w:szCs w:val="20"/>
        </w:rPr>
        <w:t>stypendia szkolne, zasiłki szkolne, dodatki mieszkaniowe oraz prace społecznie użyteczne.</w:t>
      </w:r>
    </w:p>
    <w:p w:rsidR="004B402F" w:rsidRPr="004B402F" w:rsidRDefault="00E139CB" w:rsidP="004B402F">
      <w:pPr>
        <w:jc w:val="both"/>
        <w:rPr>
          <w:rFonts w:eastAsia="Times New Roman" w:cs="Times New Roman"/>
          <w:bCs/>
          <w:szCs w:val="20"/>
        </w:rPr>
      </w:pPr>
      <w:r>
        <w:rPr>
          <w:rFonts w:eastAsia="Times New Roman" w:cs="Times New Roman"/>
          <w:szCs w:val="20"/>
        </w:rPr>
        <w:t xml:space="preserve">Ze względu na postępujący proces starzenia się społeczeństwa </w:t>
      </w:r>
      <w:r w:rsidR="004B402F" w:rsidRPr="004B402F">
        <w:rPr>
          <w:rFonts w:eastAsia="Times New Roman" w:cs="Times New Roman"/>
          <w:szCs w:val="20"/>
        </w:rPr>
        <w:t>konieczne jest rozszerzenie</w:t>
      </w:r>
      <w:r w:rsidR="004B402F">
        <w:rPr>
          <w:rFonts w:eastAsia="Times New Roman" w:cs="Times New Roman"/>
          <w:szCs w:val="20"/>
        </w:rPr>
        <w:t xml:space="preserve"> </w:t>
      </w:r>
      <w:r w:rsidR="004B402F" w:rsidRPr="004B402F">
        <w:rPr>
          <w:rFonts w:eastAsia="Times New Roman" w:cs="Times New Roman"/>
          <w:szCs w:val="20"/>
        </w:rPr>
        <w:t>programów dostosowanych do specyficznych potrzeb osób w starszym wieku.</w:t>
      </w:r>
      <w:r w:rsidR="004B402F">
        <w:rPr>
          <w:rFonts w:eastAsia="Times New Roman" w:cs="Times New Roman"/>
          <w:szCs w:val="20"/>
        </w:rPr>
        <w:t xml:space="preserve"> </w:t>
      </w:r>
      <w:r w:rsidR="004B402F" w:rsidRPr="004B402F">
        <w:rPr>
          <w:rFonts w:eastAsia="Times New Roman" w:cs="Times New Roman"/>
          <w:szCs w:val="20"/>
        </w:rPr>
        <w:t>Istnieje potrzeba rozbudowy infrastruktury społecznej</w:t>
      </w:r>
      <w:r>
        <w:rPr>
          <w:rFonts w:eastAsia="Times New Roman" w:cs="Times New Roman"/>
          <w:szCs w:val="20"/>
        </w:rPr>
        <w:t>,</w:t>
      </w:r>
      <w:r w:rsidR="004B402F" w:rsidRPr="004B402F">
        <w:rPr>
          <w:rFonts w:eastAsia="Times New Roman" w:cs="Times New Roman"/>
          <w:szCs w:val="20"/>
        </w:rPr>
        <w:t xml:space="preserve"> tj. wszelkich usług socjaln</w:t>
      </w:r>
      <w:r w:rsidR="00054298">
        <w:rPr>
          <w:rFonts w:eastAsia="Times New Roman" w:cs="Times New Roman"/>
          <w:szCs w:val="20"/>
        </w:rPr>
        <w:t>o-</w:t>
      </w:r>
      <w:r w:rsidR="004B402F" w:rsidRPr="004B402F">
        <w:rPr>
          <w:rFonts w:eastAsia="Times New Roman" w:cs="Times New Roman"/>
          <w:szCs w:val="20"/>
        </w:rPr>
        <w:t xml:space="preserve">zdrowotnych dla osób starszych </w:t>
      </w:r>
      <w:r w:rsidR="007A3D68">
        <w:rPr>
          <w:rFonts w:eastAsia="Times New Roman" w:cs="Times New Roman"/>
          <w:szCs w:val="20"/>
        </w:rPr>
        <w:br/>
      </w:r>
      <w:r w:rsidR="004B402F" w:rsidRPr="004B402F">
        <w:rPr>
          <w:rFonts w:eastAsia="Times New Roman" w:cs="Times New Roman"/>
          <w:szCs w:val="20"/>
        </w:rPr>
        <w:t>w ich najbliższym otoczeniu</w:t>
      </w:r>
      <w:r w:rsidR="00054298">
        <w:rPr>
          <w:rFonts w:eastAsia="Times New Roman" w:cs="Times New Roman"/>
          <w:szCs w:val="20"/>
        </w:rPr>
        <w:t>,</w:t>
      </w:r>
      <w:r w:rsidR="004B402F" w:rsidRPr="004B402F">
        <w:rPr>
          <w:rFonts w:eastAsia="Times New Roman" w:cs="Times New Roman"/>
          <w:szCs w:val="20"/>
        </w:rPr>
        <w:t xml:space="preserve"> jak i pobudzenie świadomości</w:t>
      </w:r>
      <w:r w:rsidR="004B402F">
        <w:rPr>
          <w:rFonts w:eastAsia="Times New Roman" w:cs="Times New Roman"/>
          <w:szCs w:val="20"/>
        </w:rPr>
        <w:t xml:space="preserve"> </w:t>
      </w:r>
      <w:r w:rsidR="004B402F" w:rsidRPr="004B402F">
        <w:rPr>
          <w:rFonts w:eastAsia="Times New Roman" w:cs="Times New Roman"/>
          <w:szCs w:val="20"/>
        </w:rPr>
        <w:t>społecznej. Należy położyć większy nacisk na budowanie sieci wsparcia środowiskowego, a opieka</w:t>
      </w:r>
      <w:r w:rsidR="004B402F">
        <w:rPr>
          <w:rFonts w:eastAsia="Times New Roman" w:cs="Times New Roman"/>
          <w:szCs w:val="20"/>
        </w:rPr>
        <w:t xml:space="preserve"> </w:t>
      </w:r>
      <w:r w:rsidR="004B402F" w:rsidRPr="004B402F">
        <w:rPr>
          <w:rFonts w:eastAsia="Times New Roman" w:cs="Times New Roman"/>
          <w:szCs w:val="20"/>
        </w:rPr>
        <w:t>instytucjonalna np. Domy Pomocy Społecznej, powinna jedynie „domykać system”</w:t>
      </w:r>
      <w:r>
        <w:rPr>
          <w:rFonts w:eastAsia="Times New Roman" w:cs="Times New Roman"/>
          <w:szCs w:val="20"/>
        </w:rPr>
        <w:t>. Trzeba</w:t>
      </w:r>
      <w:r w:rsidR="004B402F" w:rsidRPr="004B402F">
        <w:rPr>
          <w:rFonts w:eastAsia="Times New Roman" w:cs="Times New Roman"/>
          <w:szCs w:val="20"/>
        </w:rPr>
        <w:t xml:space="preserve"> również</w:t>
      </w:r>
      <w:r w:rsidR="004B402F">
        <w:rPr>
          <w:rFonts w:eastAsia="Times New Roman" w:cs="Times New Roman"/>
          <w:szCs w:val="20"/>
        </w:rPr>
        <w:t xml:space="preserve"> </w:t>
      </w:r>
      <w:r>
        <w:rPr>
          <w:rFonts w:eastAsia="Times New Roman" w:cs="Times New Roman"/>
          <w:szCs w:val="20"/>
        </w:rPr>
        <w:t>wziąć pod uwagę</w:t>
      </w:r>
      <w:r w:rsidR="004B402F" w:rsidRPr="004B402F">
        <w:rPr>
          <w:rFonts w:eastAsia="Times New Roman" w:cs="Times New Roman"/>
          <w:szCs w:val="20"/>
        </w:rPr>
        <w:t xml:space="preserve">, że wsparcie ze </w:t>
      </w:r>
      <w:r w:rsidR="004B402F" w:rsidRPr="004B402F">
        <w:rPr>
          <w:rFonts w:eastAsia="Times New Roman" w:cs="Times New Roman"/>
          <w:szCs w:val="20"/>
        </w:rPr>
        <w:lastRenderedPageBreak/>
        <w:t>strony najbliższych nie zawsze będzie możliwe ze względu na</w:t>
      </w:r>
      <w:r w:rsidR="004B402F">
        <w:rPr>
          <w:rFonts w:eastAsia="Times New Roman" w:cs="Times New Roman"/>
          <w:szCs w:val="20"/>
        </w:rPr>
        <w:t xml:space="preserve"> </w:t>
      </w:r>
      <w:r w:rsidR="004B402F" w:rsidRPr="004B402F">
        <w:rPr>
          <w:rFonts w:eastAsia="Times New Roman" w:cs="Times New Roman"/>
          <w:szCs w:val="20"/>
        </w:rPr>
        <w:t>wyostrzający się problem demograficzny</w:t>
      </w:r>
      <w:r>
        <w:rPr>
          <w:rFonts w:eastAsia="Times New Roman" w:cs="Times New Roman"/>
          <w:szCs w:val="20"/>
        </w:rPr>
        <w:t>,</w:t>
      </w:r>
      <w:r w:rsidR="004B402F" w:rsidRPr="004B402F">
        <w:rPr>
          <w:rFonts w:eastAsia="Times New Roman" w:cs="Times New Roman"/>
          <w:szCs w:val="20"/>
        </w:rPr>
        <w:t xml:space="preserve"> jak również zmiany systemu wartości,</w:t>
      </w:r>
      <w:r w:rsidR="004B402F">
        <w:rPr>
          <w:rFonts w:eastAsia="Times New Roman" w:cs="Times New Roman"/>
          <w:szCs w:val="20"/>
        </w:rPr>
        <w:t xml:space="preserve"> co obrazują rosnące wydatki </w:t>
      </w:r>
      <w:r w:rsidR="004B402F" w:rsidRPr="004B402F">
        <w:rPr>
          <w:rFonts w:eastAsia="Times New Roman" w:cs="Times New Roman"/>
          <w:bCs/>
          <w:szCs w:val="20"/>
        </w:rPr>
        <w:t>za pobyt mieszkańców w DPS</w:t>
      </w:r>
      <w:r w:rsidR="004B402F">
        <w:rPr>
          <w:rFonts w:eastAsia="Times New Roman" w:cs="Times New Roman"/>
          <w:bCs/>
          <w:szCs w:val="20"/>
        </w:rPr>
        <w:t xml:space="preserve">. Wydatki w 2010 roku w stosunku do 2005 roku zwiększyły się prawie dziesięciokrotnie, a </w:t>
      </w:r>
      <w:r w:rsidR="004B402F" w:rsidRPr="004B402F">
        <w:rPr>
          <w:rFonts w:eastAsia="Times New Roman" w:cs="Times New Roman"/>
          <w:bCs/>
          <w:szCs w:val="20"/>
        </w:rPr>
        <w:t xml:space="preserve">więc uzasadnione jest poszukiwanie takich rozwiązań </w:t>
      </w:r>
      <w:r>
        <w:rPr>
          <w:rFonts w:eastAsia="Times New Roman" w:cs="Times New Roman"/>
          <w:bCs/>
          <w:szCs w:val="20"/>
        </w:rPr>
        <w:t>systemowych, które gwarantowały</w:t>
      </w:r>
      <w:r w:rsidR="004B402F" w:rsidRPr="004B402F">
        <w:rPr>
          <w:rFonts w:eastAsia="Times New Roman" w:cs="Times New Roman"/>
          <w:bCs/>
          <w:szCs w:val="20"/>
        </w:rPr>
        <w:t>by</w:t>
      </w:r>
      <w:r w:rsidR="004B402F">
        <w:rPr>
          <w:rFonts w:eastAsia="Times New Roman" w:cs="Times New Roman"/>
          <w:bCs/>
          <w:szCs w:val="20"/>
        </w:rPr>
        <w:t xml:space="preserve"> </w:t>
      </w:r>
      <w:r w:rsidR="004B402F" w:rsidRPr="004B402F">
        <w:rPr>
          <w:rFonts w:eastAsia="Times New Roman" w:cs="Times New Roman"/>
          <w:bCs/>
          <w:szCs w:val="20"/>
        </w:rPr>
        <w:t>ludziom starszym należyte miejsce w społeczeństwie oraz tworzyły warunki do godnego życia.</w:t>
      </w:r>
    </w:p>
    <w:p w:rsidR="00E139CB" w:rsidRDefault="00535843">
      <w:r>
        <w:pict>
          <v:shape id="_x0000_s1037" type="#_x0000_t185" style="width:121.7pt;height:453.25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37;mso-fit-shape-to-text:t" inset="18pt,18pt,,18pt">
              <w:txbxContent>
                <w:p w:rsidR="00291CA0" w:rsidRPr="0028366E" w:rsidRDefault="00291CA0" w:rsidP="0028366E">
                  <w:pPr>
                    <w:spacing w:before="60" w:after="60"/>
                    <w:jc w:val="both"/>
                    <w:rPr>
                      <w:b/>
                      <w:i/>
                      <w:iCs/>
                      <w:color w:val="943634" w:themeColor="accent2" w:themeShade="BF"/>
                    </w:rPr>
                  </w:pPr>
                  <w:r w:rsidRPr="0028366E">
                    <w:rPr>
                      <w:b/>
                      <w:i/>
                      <w:iCs/>
                      <w:color w:val="943634" w:themeColor="accent2" w:themeShade="BF"/>
                    </w:rPr>
                    <w:t>KONKLUZJE STRATEGICZNE</w:t>
                  </w:r>
                </w:p>
                <w:p w:rsidR="00291CA0" w:rsidRPr="0028366E" w:rsidRDefault="00291CA0" w:rsidP="0028366E">
                  <w:pPr>
                    <w:spacing w:before="60" w:after="60"/>
                    <w:jc w:val="both"/>
                    <w:rPr>
                      <w:b/>
                      <w:i/>
                      <w:iCs/>
                      <w:color w:val="808080" w:themeColor="background1" w:themeShade="80"/>
                    </w:rPr>
                  </w:pPr>
                  <w:r w:rsidRPr="0028366E">
                    <w:rPr>
                      <w:b/>
                      <w:i/>
                      <w:iCs/>
                      <w:color w:val="808080" w:themeColor="background1" w:themeShade="80"/>
                    </w:rPr>
                    <w:t>Służba zdrowia w Pobiedziskach zabezpiecza potrzeby mieszkańców w zakresie podstawowej opieki zdrowotnej.</w:t>
                  </w:r>
                </w:p>
                <w:p w:rsidR="00291CA0" w:rsidRPr="0028366E" w:rsidRDefault="00291CA0" w:rsidP="0028366E">
                  <w:pPr>
                    <w:spacing w:before="60" w:after="60"/>
                    <w:jc w:val="both"/>
                    <w:rPr>
                      <w:b/>
                      <w:i/>
                      <w:iCs/>
                      <w:color w:val="808080" w:themeColor="background1" w:themeShade="80"/>
                    </w:rPr>
                  </w:pPr>
                  <w:r w:rsidRPr="0028366E">
                    <w:rPr>
                      <w:b/>
                      <w:i/>
                      <w:iCs/>
                      <w:color w:val="808080" w:themeColor="background1" w:themeShade="80"/>
                    </w:rPr>
                    <w:t>Ze względu na postępujący proces starzenia się społeczeństwa istnieje potrzeba rozbudowy infrastruktury społecznej dla osób starszych.</w:t>
                  </w:r>
                </w:p>
              </w:txbxContent>
            </v:textbox>
            <w10:wrap type="none" anchorx="margin" anchory="margin"/>
            <w10:anchorlock/>
          </v:shape>
        </w:pict>
      </w:r>
    </w:p>
    <w:p w:rsidR="009A7ABC" w:rsidRPr="00885434" w:rsidRDefault="00927DA9" w:rsidP="00927DA9">
      <w:pPr>
        <w:pStyle w:val="Nagwek2"/>
        <w:ind w:left="360"/>
        <w:rPr>
          <w:rFonts w:asciiTheme="minorHAnsi" w:hAnsiTheme="minorHAnsi"/>
          <w:color w:val="943634" w:themeColor="accent2" w:themeShade="BF"/>
        </w:rPr>
      </w:pPr>
      <w:bookmarkStart w:id="22" w:name="_Toc321135339"/>
      <w:r w:rsidRPr="00885434">
        <w:rPr>
          <w:rFonts w:asciiTheme="minorHAnsi" w:hAnsiTheme="minorHAnsi"/>
          <w:color w:val="943634" w:themeColor="accent2" w:themeShade="BF"/>
        </w:rPr>
        <w:t xml:space="preserve">5. 12 </w:t>
      </w:r>
      <w:r w:rsidR="009A7ABC" w:rsidRPr="00885434">
        <w:rPr>
          <w:rFonts w:asciiTheme="minorHAnsi" w:hAnsiTheme="minorHAnsi"/>
          <w:color w:val="943634" w:themeColor="accent2" w:themeShade="BF"/>
        </w:rPr>
        <w:t>Instytucje otoczenia biznesu</w:t>
      </w:r>
      <w:bookmarkEnd w:id="22"/>
    </w:p>
    <w:p w:rsidR="009A7ABC" w:rsidRDefault="00FA7BD3" w:rsidP="0028366E">
      <w:pPr>
        <w:spacing w:before="60" w:after="60"/>
        <w:jc w:val="both"/>
      </w:pPr>
      <w:r w:rsidRPr="00885434">
        <w:t>W Pobiedziskach rozwinięty jest sektor małych i średnich przedsiębiorstw, dlatego ważny jest system wsparcia szczególnie dla tej grupy firm. Rolę tę pełnią instytucje otoczenia biznesu.</w:t>
      </w:r>
      <w:r w:rsidR="001538EA">
        <w:t xml:space="preserve"> </w:t>
      </w:r>
      <w:r w:rsidR="001538EA" w:rsidRPr="001538EA">
        <w:t xml:space="preserve">Są to zarówno instytucje finansowe, jak i doradcze, informacyjne i szkoleniowe, agencje rozwoju regionalnego, izby </w:t>
      </w:r>
      <w:r w:rsidR="00660FC2">
        <w:br/>
      </w:r>
      <w:r w:rsidR="001538EA" w:rsidRPr="001538EA">
        <w:t xml:space="preserve">i stowarzyszenia gospodarcze, organizacje pracodawców, inkubatory przedsiębiorczości. Większość </w:t>
      </w:r>
      <w:r w:rsidR="00660FC2">
        <w:br/>
      </w:r>
      <w:r w:rsidR="001538EA" w:rsidRPr="001538EA">
        <w:t xml:space="preserve">z wymienionych instytucji ma swoje siedziby w </w:t>
      </w:r>
      <w:r w:rsidR="001538EA">
        <w:t>Poznaniu</w:t>
      </w:r>
      <w:r w:rsidR="001538EA" w:rsidRPr="001538EA">
        <w:t xml:space="preserve">, jednak swym zasięgiem obejmują one wszystkie </w:t>
      </w:r>
      <w:r w:rsidR="001538EA">
        <w:t>gminy powiatu poznańskiego</w:t>
      </w:r>
      <w:r w:rsidR="001538EA" w:rsidRPr="001538EA">
        <w:t>.</w:t>
      </w:r>
    </w:p>
    <w:p w:rsidR="00BD4755" w:rsidRPr="00885434" w:rsidRDefault="00BD4755" w:rsidP="0028366E">
      <w:pPr>
        <w:spacing w:before="60" w:after="60"/>
        <w:jc w:val="both"/>
      </w:pPr>
      <w:r>
        <w:t>Przedsiębiorcy oczekują od gminy przede wszystkim przejrzystej polityki podatkowej, systemu ulg inwestycyjnych, indywidualnej – perfekcyjnej obsługi każdego z inwestorów oraz atrakcyjnych – uzbrojonych terenów inwestycyjnych.</w:t>
      </w:r>
    </w:p>
    <w:p w:rsidR="00C35734" w:rsidRDefault="00C35734" w:rsidP="0028366E">
      <w:pPr>
        <w:spacing w:before="60" w:after="60"/>
        <w:jc w:val="both"/>
      </w:pPr>
      <w:r>
        <w:t>Obsługą inwestora zajmuje się Urząd Miasta i Gminy w Pobiedziskach Wydział Rozwoju Gminy Referat Inwestycji i Planowania Przestrzennego.</w:t>
      </w:r>
    </w:p>
    <w:p w:rsidR="006F620E" w:rsidRPr="006F620E" w:rsidRDefault="006F620E" w:rsidP="006F620E">
      <w:pPr>
        <w:spacing w:before="60" w:after="60"/>
        <w:jc w:val="both"/>
        <w:rPr>
          <w:rFonts w:ascii="Calibri" w:hAnsi="Calibri" w:cs="Calibri"/>
        </w:rPr>
      </w:pPr>
      <w:r w:rsidRPr="006F620E">
        <w:rPr>
          <w:rFonts w:ascii="Calibri" w:hAnsi="Calibri" w:cs="Calibri"/>
        </w:rPr>
        <w:t xml:space="preserve">Mieszkańcy gminy jak i podmioty gospodarcze korzystają z Klubu Pracy, który udziela m.in. informacji </w:t>
      </w:r>
      <w:r w:rsidRPr="006F620E">
        <w:rPr>
          <w:rFonts w:ascii="Calibri" w:hAnsi="Calibri" w:cs="Calibri"/>
        </w:rPr>
        <w:br/>
        <w:t>o możliwościach pozyskania środków finansowych ze źródeł zewnętrznych na utworzenie nowych miejsc pracy czy uruchomienie firmy. Klub Pracy swoją działalnością obejmuje głównie obszar Pobiedzisk.</w:t>
      </w:r>
    </w:p>
    <w:p w:rsidR="006F620E" w:rsidRPr="006F620E" w:rsidRDefault="006F620E" w:rsidP="006F620E">
      <w:pPr>
        <w:spacing w:before="60" w:after="60"/>
        <w:jc w:val="both"/>
        <w:rPr>
          <w:rFonts w:ascii="Calibri" w:hAnsi="Calibri" w:cs="Calibri"/>
        </w:rPr>
      </w:pPr>
      <w:r w:rsidRPr="006F620E">
        <w:rPr>
          <w:rFonts w:ascii="Calibri" w:hAnsi="Calibri" w:cs="Calibri"/>
        </w:rPr>
        <w:t>Podlega pod Wielkopolską Wojewódzką Komendę OHP w Poznaniu, współpracuje z Urzędem Miasta i Gminy w Pobiedziskach oraz Powiatowym Urzędem Pracy  w Poznaniu. W 2011 roku jako osoby bezrobotne, poszukujące pracy zarejestrowano 297 osób oraz 18 osób uczących się w systemie dziennym. W roku 2012r. - 70 osób bezrobotnych, poszukujących pracy, zarejestrowanych w Klubie Pracy do dnia 07.02.2012r. Działalność Klubu obejmuje: prowadzenie konsultacji indywidualnych, doradztwa z</w:t>
      </w:r>
      <w:r>
        <w:rPr>
          <w:rFonts w:ascii="Calibri" w:hAnsi="Calibri" w:cs="Calibri"/>
        </w:rPr>
        <w:t xml:space="preserve">awodowego, pośrednictwa pracy, </w:t>
      </w:r>
      <w:r w:rsidRPr="006F620E">
        <w:rPr>
          <w:rFonts w:ascii="Calibri" w:hAnsi="Calibri" w:cs="Calibri"/>
        </w:rPr>
        <w:t>prowadzenie zajęć aktywizacyjnych i grupowych spotkań informacyjnych, organizacja szkoleń z procedur zakładania własnej działalności, itd.</w:t>
      </w:r>
    </w:p>
    <w:p w:rsidR="007D6265" w:rsidRDefault="007D6265" w:rsidP="0028366E">
      <w:pPr>
        <w:spacing w:before="60" w:after="60"/>
      </w:pPr>
      <w:r>
        <w:t>W Pobiedziskach siedzibę ma pięć banków</w:t>
      </w:r>
      <w:r w:rsidR="00E14DC7">
        <w:t>:</w:t>
      </w:r>
    </w:p>
    <w:p w:rsidR="00DA46E1" w:rsidRPr="00DA46E1" w:rsidRDefault="00DA46E1" w:rsidP="00E84FFC">
      <w:pPr>
        <w:pStyle w:val="Akapitzlist"/>
        <w:numPr>
          <w:ilvl w:val="0"/>
          <w:numId w:val="16"/>
        </w:numPr>
        <w:spacing w:line="276" w:lineRule="auto"/>
        <w:jc w:val="both"/>
        <w:rPr>
          <w:rFonts w:asciiTheme="minorHAnsi" w:hAnsiTheme="minorHAnsi"/>
          <w:sz w:val="22"/>
        </w:rPr>
      </w:pPr>
      <w:r w:rsidRPr="00DA46E1">
        <w:rPr>
          <w:rFonts w:asciiTheme="minorHAnsi" w:hAnsiTheme="minorHAnsi"/>
          <w:sz w:val="22"/>
        </w:rPr>
        <w:t>Bank Zachodni WBK S.A., I Oddział Pobiedziska</w:t>
      </w:r>
      <w:r w:rsidR="003B1763">
        <w:rPr>
          <w:rFonts w:asciiTheme="minorHAnsi" w:hAnsiTheme="minorHAnsi"/>
          <w:sz w:val="22"/>
        </w:rPr>
        <w:t>,</w:t>
      </w:r>
    </w:p>
    <w:p w:rsidR="00DA46E1" w:rsidRPr="00DA46E1" w:rsidRDefault="00DA46E1" w:rsidP="00E84FFC">
      <w:pPr>
        <w:pStyle w:val="Akapitzlist"/>
        <w:numPr>
          <w:ilvl w:val="0"/>
          <w:numId w:val="16"/>
        </w:numPr>
        <w:spacing w:line="276" w:lineRule="auto"/>
        <w:jc w:val="both"/>
        <w:rPr>
          <w:rFonts w:asciiTheme="minorHAnsi" w:hAnsiTheme="minorHAnsi"/>
          <w:sz w:val="22"/>
        </w:rPr>
      </w:pPr>
      <w:r w:rsidRPr="00DA46E1">
        <w:rPr>
          <w:rFonts w:asciiTheme="minorHAnsi" w:hAnsiTheme="minorHAnsi"/>
          <w:sz w:val="22"/>
        </w:rPr>
        <w:t>Bank PKO BP S.A., Oddział Pobiedziska</w:t>
      </w:r>
      <w:r w:rsidR="003B1763">
        <w:rPr>
          <w:rFonts w:asciiTheme="minorHAnsi" w:hAnsiTheme="minorHAnsi"/>
          <w:sz w:val="22"/>
        </w:rPr>
        <w:t>,</w:t>
      </w:r>
    </w:p>
    <w:p w:rsidR="00DA46E1" w:rsidRPr="00DA46E1" w:rsidRDefault="00DA46E1" w:rsidP="00E84FFC">
      <w:pPr>
        <w:pStyle w:val="Akapitzlist"/>
        <w:numPr>
          <w:ilvl w:val="0"/>
          <w:numId w:val="16"/>
        </w:numPr>
        <w:spacing w:line="276" w:lineRule="auto"/>
        <w:jc w:val="both"/>
        <w:rPr>
          <w:rFonts w:asciiTheme="minorHAnsi" w:hAnsiTheme="minorHAnsi"/>
          <w:sz w:val="22"/>
        </w:rPr>
      </w:pPr>
      <w:r w:rsidRPr="00DA46E1">
        <w:rPr>
          <w:rFonts w:asciiTheme="minorHAnsi" w:hAnsiTheme="minorHAnsi"/>
          <w:sz w:val="22"/>
        </w:rPr>
        <w:t>Pobiedzisko Gośliński Bank Spółdzielczy</w:t>
      </w:r>
      <w:r w:rsidR="003B1763">
        <w:rPr>
          <w:rFonts w:asciiTheme="minorHAnsi" w:hAnsiTheme="minorHAnsi"/>
          <w:sz w:val="22"/>
        </w:rPr>
        <w:t>,</w:t>
      </w:r>
    </w:p>
    <w:p w:rsidR="00DA46E1" w:rsidRPr="00DA46E1" w:rsidRDefault="00DA46E1" w:rsidP="00E84FFC">
      <w:pPr>
        <w:pStyle w:val="Akapitzlist"/>
        <w:numPr>
          <w:ilvl w:val="0"/>
          <w:numId w:val="16"/>
        </w:numPr>
        <w:spacing w:line="276" w:lineRule="auto"/>
        <w:jc w:val="both"/>
        <w:rPr>
          <w:rFonts w:asciiTheme="minorHAnsi" w:hAnsiTheme="minorHAnsi"/>
          <w:sz w:val="22"/>
        </w:rPr>
      </w:pPr>
      <w:r w:rsidRPr="00DA46E1">
        <w:rPr>
          <w:rFonts w:asciiTheme="minorHAnsi" w:hAnsiTheme="minorHAnsi"/>
          <w:sz w:val="22"/>
        </w:rPr>
        <w:lastRenderedPageBreak/>
        <w:t>ING Bank Śląski S.A. w Katowicach, Oddział Poznań, Filia w Pobiedziskach</w:t>
      </w:r>
      <w:r w:rsidR="003B1763">
        <w:rPr>
          <w:rFonts w:asciiTheme="minorHAnsi" w:hAnsiTheme="minorHAnsi"/>
          <w:sz w:val="22"/>
        </w:rPr>
        <w:t>,</w:t>
      </w:r>
    </w:p>
    <w:p w:rsidR="007D6265" w:rsidRPr="00DA46E1" w:rsidRDefault="00DA46E1" w:rsidP="00E84FFC">
      <w:pPr>
        <w:pStyle w:val="Akapitzlist"/>
        <w:numPr>
          <w:ilvl w:val="0"/>
          <w:numId w:val="16"/>
        </w:numPr>
        <w:spacing w:after="240" w:line="276" w:lineRule="auto"/>
        <w:jc w:val="both"/>
        <w:rPr>
          <w:rFonts w:asciiTheme="minorHAnsi" w:hAnsiTheme="minorHAnsi"/>
          <w:sz w:val="22"/>
        </w:rPr>
      </w:pPr>
      <w:r w:rsidRPr="00DA46E1">
        <w:rPr>
          <w:rFonts w:asciiTheme="minorHAnsi" w:hAnsiTheme="minorHAnsi"/>
          <w:sz w:val="22"/>
        </w:rPr>
        <w:t>Pobiedzisko Gośliński Bank Spółdzielczy, Filia Biskupice Wlkp</w:t>
      </w:r>
      <w:r w:rsidR="003B1763">
        <w:rPr>
          <w:rFonts w:asciiTheme="minorHAnsi" w:hAnsiTheme="minorHAnsi"/>
          <w:sz w:val="22"/>
        </w:rPr>
        <w:t>.</w:t>
      </w:r>
    </w:p>
    <w:p w:rsidR="00CA0231" w:rsidRDefault="00DA46E1" w:rsidP="0028366E">
      <w:pPr>
        <w:spacing w:before="60" w:after="60"/>
        <w:jc w:val="both"/>
      </w:pPr>
      <w:r>
        <w:t xml:space="preserve">W </w:t>
      </w:r>
      <w:r w:rsidR="00440807" w:rsidRPr="00306F0C">
        <w:t>n</w:t>
      </w:r>
      <w:r w:rsidR="009919B6" w:rsidRPr="00306F0C">
        <w:t>eogotycki</w:t>
      </w:r>
      <w:r w:rsidRPr="00306F0C">
        <w:t>m</w:t>
      </w:r>
      <w:r w:rsidR="009919B6" w:rsidRPr="00306F0C">
        <w:t xml:space="preserve"> </w:t>
      </w:r>
      <w:r w:rsidR="009919B6" w:rsidRPr="009919B6">
        <w:t>Pałac</w:t>
      </w:r>
      <w:r>
        <w:t>u</w:t>
      </w:r>
      <w:r w:rsidR="009919B6" w:rsidRPr="009919B6">
        <w:t xml:space="preserve"> w Krześlicach</w:t>
      </w:r>
      <w:r w:rsidR="009919B6">
        <w:t xml:space="preserve"> p</w:t>
      </w:r>
      <w:r>
        <w:t>o gruntownym remoncie obiektu</w:t>
      </w:r>
      <w:r w:rsidR="009919B6" w:rsidRPr="009919B6">
        <w:t xml:space="preserve"> utworzono hotel </w:t>
      </w:r>
      <w:r w:rsidR="00660FC2">
        <w:br/>
      </w:r>
      <w:r w:rsidR="009919B6" w:rsidRPr="009919B6">
        <w:t xml:space="preserve">i restaurację oraz Centrum Obsługi Biznesu. We wnętrzach pałacowych organizowane są szkolenia, konferencje, </w:t>
      </w:r>
      <w:r>
        <w:t xml:space="preserve">sympozja, </w:t>
      </w:r>
      <w:r w:rsidR="009919B6" w:rsidRPr="009919B6">
        <w:t xml:space="preserve">imprezy integracyjne i </w:t>
      </w:r>
      <w:r>
        <w:t>motywacyjne oraz spotkania z klientami i partnerami</w:t>
      </w:r>
      <w:r w:rsidR="009919B6" w:rsidRPr="009919B6">
        <w:t>.</w:t>
      </w:r>
      <w:r>
        <w:t xml:space="preserve"> </w:t>
      </w:r>
      <w:r w:rsidRPr="00DA46E1">
        <w:t xml:space="preserve">Sale konferencyjne pomieszczą od 20 do 100 osób i wyposażone są w rzutniki, flipcharty, ekrany </w:t>
      </w:r>
      <w:r w:rsidR="00660FC2">
        <w:br/>
      </w:r>
      <w:r w:rsidRPr="00DA46E1">
        <w:t>i inne niezbędne elementy konferencyjne.</w:t>
      </w:r>
    </w:p>
    <w:p w:rsidR="00854318" w:rsidRDefault="00854318" w:rsidP="0028366E">
      <w:pPr>
        <w:spacing w:before="60" w:after="60"/>
        <w:jc w:val="both"/>
      </w:pPr>
      <w:r>
        <w:t>Gmina Pobiedziska w celu aktywizacji terenów wiejskich przystąpiła do Stowarzys</w:t>
      </w:r>
      <w:r w:rsidR="007F5F42">
        <w:t>zenia Lokalna Grupa Działania „</w:t>
      </w:r>
      <w:r>
        <w:t>Światowid”, która będzie realizowała na terenie gminy zadania z Lokalnej Strategii Rozwoju, opracowanej w drodze szerokich konsultacji społecznych na potrzeby</w:t>
      </w:r>
      <w:r w:rsidR="007F5F42">
        <w:t xml:space="preserve"> unijnych Programów „Leader” i </w:t>
      </w:r>
      <w:r>
        <w:t>PROW.</w:t>
      </w:r>
    </w:p>
    <w:p w:rsidR="008A0C4E" w:rsidRDefault="008A0C4E" w:rsidP="0028366E">
      <w:pPr>
        <w:spacing w:before="60" w:after="60"/>
        <w:jc w:val="both"/>
      </w:pPr>
      <w:r>
        <w:t xml:space="preserve">Ponadto od 2000 roku działa </w:t>
      </w:r>
      <w:r w:rsidRPr="008A0C4E">
        <w:t xml:space="preserve">Stowarzyszenie Przedsiębiorców </w:t>
      </w:r>
      <w:r>
        <w:t xml:space="preserve">w Pobiedziskach, które skupia </w:t>
      </w:r>
      <w:r w:rsidRPr="008A0C4E">
        <w:t>osoby prowadzące działalność gospodarczą na własny rachunek. Celem działania jest integracja członków Stowarzyszenia, doradztwo i pomoc organizacyjna. Reprezentując swych członków wobec władz państwowych i samorządowych oraz innych organizacji, służy obronie ich interesów zawodowych. Inspiruje rozwój nowych form działalności swych członków.</w:t>
      </w:r>
    </w:p>
    <w:p w:rsidR="00E139CB" w:rsidRPr="00885434" w:rsidRDefault="00535843" w:rsidP="00C35734">
      <w:pPr>
        <w:jc w:val="both"/>
      </w:pPr>
      <w:r>
        <w:pict>
          <v:shape id="_x0000_s1036" type="#_x0000_t185" style="width:137.15pt;height:456.7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36;mso-fit-shape-to-text:t" inset="18pt,18pt,,18pt">
              <w:txbxContent>
                <w:p w:rsidR="00291CA0" w:rsidRPr="0028366E" w:rsidRDefault="00291CA0" w:rsidP="0028366E">
                  <w:pPr>
                    <w:spacing w:before="60" w:after="60"/>
                    <w:jc w:val="both"/>
                    <w:rPr>
                      <w:b/>
                      <w:i/>
                      <w:iCs/>
                      <w:color w:val="943634" w:themeColor="accent2" w:themeShade="BF"/>
                    </w:rPr>
                  </w:pPr>
                  <w:r w:rsidRPr="0028366E">
                    <w:rPr>
                      <w:b/>
                      <w:i/>
                      <w:iCs/>
                      <w:color w:val="943634" w:themeColor="accent2" w:themeShade="BF"/>
                    </w:rPr>
                    <w:t>KONKLUZJE STRATEGICZNE</w:t>
                  </w:r>
                </w:p>
                <w:p w:rsidR="00291CA0" w:rsidRPr="0028366E" w:rsidRDefault="00291CA0" w:rsidP="0028366E">
                  <w:pPr>
                    <w:spacing w:before="60" w:after="60"/>
                    <w:jc w:val="both"/>
                    <w:rPr>
                      <w:b/>
                      <w:i/>
                      <w:iCs/>
                      <w:color w:val="808080" w:themeColor="background1" w:themeShade="80"/>
                    </w:rPr>
                  </w:pPr>
                  <w:r w:rsidRPr="0028366E">
                    <w:rPr>
                      <w:b/>
                      <w:i/>
                      <w:iCs/>
                      <w:color w:val="808080" w:themeColor="background1" w:themeShade="80"/>
                    </w:rPr>
                    <w:t>Oferta instytucji otoczenia biznesu zlokalizowana jest na terenie Poznania, a nie w samych Pobiedziskach.</w:t>
                  </w:r>
                </w:p>
                <w:p w:rsidR="00291CA0" w:rsidRPr="0028366E" w:rsidRDefault="00291CA0" w:rsidP="0028366E">
                  <w:pPr>
                    <w:spacing w:before="60" w:after="60"/>
                    <w:jc w:val="both"/>
                    <w:rPr>
                      <w:b/>
                      <w:i/>
                      <w:iCs/>
                      <w:color w:val="808080" w:themeColor="background1" w:themeShade="80"/>
                    </w:rPr>
                  </w:pPr>
                  <w:r w:rsidRPr="0028366E">
                    <w:rPr>
                      <w:b/>
                      <w:i/>
                      <w:iCs/>
                      <w:color w:val="808080" w:themeColor="background1" w:themeShade="80"/>
                    </w:rPr>
                    <w:t>Aby gospodarka gminy Pobiedziska mogła się rozwijać i być konkurencyjna, niezbędne jest zwiększenie zakresu wykorzystania wiedzy w przedsiębiorstwach oraz podnoszenie innowacyjności produkcji.</w:t>
                  </w:r>
                </w:p>
              </w:txbxContent>
            </v:textbox>
            <w10:wrap type="none" anchorx="margin" anchory="margin"/>
            <w10:anchorlock/>
          </v:shape>
        </w:pict>
      </w:r>
    </w:p>
    <w:p w:rsidR="009A7ABC" w:rsidRPr="00885434" w:rsidRDefault="00927DA9" w:rsidP="00927DA9">
      <w:pPr>
        <w:pStyle w:val="Nagwek2"/>
        <w:ind w:left="360"/>
        <w:rPr>
          <w:rFonts w:asciiTheme="minorHAnsi" w:hAnsiTheme="minorHAnsi"/>
          <w:color w:val="943634" w:themeColor="accent2" w:themeShade="BF"/>
        </w:rPr>
      </w:pPr>
      <w:bookmarkStart w:id="23" w:name="_Toc321135340"/>
      <w:r w:rsidRPr="00885434">
        <w:rPr>
          <w:rFonts w:asciiTheme="minorHAnsi" w:hAnsiTheme="minorHAnsi"/>
          <w:color w:val="943634" w:themeColor="accent2" w:themeShade="BF"/>
        </w:rPr>
        <w:t xml:space="preserve">5. 13 </w:t>
      </w:r>
      <w:r w:rsidR="009A7ABC" w:rsidRPr="00885434">
        <w:rPr>
          <w:rFonts w:asciiTheme="minorHAnsi" w:hAnsiTheme="minorHAnsi"/>
          <w:color w:val="943634" w:themeColor="accent2" w:themeShade="BF"/>
        </w:rPr>
        <w:t>Bezpieczeństwo publiczne</w:t>
      </w:r>
      <w:bookmarkEnd w:id="23"/>
    </w:p>
    <w:p w:rsidR="009A7ABC" w:rsidRPr="00885434" w:rsidRDefault="002E4250" w:rsidP="001B7FC9">
      <w:pPr>
        <w:spacing w:before="60" w:after="60"/>
        <w:jc w:val="both"/>
      </w:pPr>
      <w:r w:rsidRPr="00885434">
        <w:t>Zapewnienie bezpieczeństwa ludności i jej mienia należy do obowiązków policji oraz straży pożarnej.</w:t>
      </w:r>
      <w:r w:rsidR="006A2429">
        <w:t xml:space="preserve"> </w:t>
      </w:r>
      <w:r w:rsidRPr="00885434">
        <w:t xml:space="preserve">W mieście Pobiedziska znajduje się Komisariat Policji oraz remiza Ochotniczej Straży Pożarnej. Remizy Ochotniczych Straży Pożarnych znajdują się również w Biskupicach, Kociałkowej Górce, Latalicach </w:t>
      </w:r>
      <w:r w:rsidR="00660FC2">
        <w:br/>
      </w:r>
      <w:r w:rsidRPr="00885434">
        <w:t xml:space="preserve">i Węglewie. </w:t>
      </w:r>
      <w:r w:rsidRPr="00306F0C">
        <w:t xml:space="preserve">OSP Pobiedziska </w:t>
      </w:r>
      <w:r w:rsidR="00C70FEA" w:rsidRPr="00306F0C">
        <w:t>należ</w:t>
      </w:r>
      <w:r w:rsidR="006F620E">
        <w:t>y</w:t>
      </w:r>
      <w:r w:rsidRPr="00885434">
        <w:t xml:space="preserve"> do</w:t>
      </w:r>
      <w:r w:rsidR="001B7FC9">
        <w:t xml:space="preserve"> Krajowego Systemu R</w:t>
      </w:r>
      <w:r w:rsidR="006354F7" w:rsidRPr="00885434">
        <w:t>atowniczo-</w:t>
      </w:r>
      <w:r w:rsidR="001B7FC9">
        <w:t>Gaśniczego, posiada</w:t>
      </w:r>
      <w:r w:rsidR="001B7FC9" w:rsidRPr="001B7FC9">
        <w:t xml:space="preserve"> dobrze wyszkoloną</w:t>
      </w:r>
      <w:r w:rsidR="001B7FC9">
        <w:t xml:space="preserve"> </w:t>
      </w:r>
      <w:r w:rsidR="001B7FC9" w:rsidRPr="001B7FC9">
        <w:t>kadrę, nowoczesny sprzęt oraz odpowiednią</w:t>
      </w:r>
      <w:r w:rsidR="001B7FC9">
        <w:t xml:space="preserve"> </w:t>
      </w:r>
      <w:r w:rsidR="001B7FC9" w:rsidRPr="001B7FC9">
        <w:t>bazę lokalową.</w:t>
      </w:r>
    </w:p>
    <w:p w:rsidR="009A7ABC" w:rsidRPr="00885434" w:rsidRDefault="00D50240" w:rsidP="006A2429">
      <w:pPr>
        <w:spacing w:before="60" w:after="60"/>
        <w:jc w:val="both"/>
      </w:pPr>
      <w:r w:rsidRPr="00D50240">
        <w:t xml:space="preserve">Większość gminnych obiektów użyteczności publicznej została wyposażona w systemy alarmowe. Monitoring wizyjny </w:t>
      </w:r>
      <w:r>
        <w:t>został zainstalowany w szkołach</w:t>
      </w:r>
      <w:r w:rsidRPr="00D50240">
        <w:t xml:space="preserve"> Jerzykowo, </w:t>
      </w:r>
      <w:r w:rsidR="00C70FEA" w:rsidRPr="00306F0C">
        <w:t xml:space="preserve">Pobiedziska - </w:t>
      </w:r>
      <w:r w:rsidRPr="00306F0C">
        <w:t>Letnisko,</w:t>
      </w:r>
      <w:r w:rsidRPr="00C70FEA">
        <w:rPr>
          <w:color w:val="FF0000"/>
        </w:rPr>
        <w:t xml:space="preserve"> </w:t>
      </w:r>
      <w:r w:rsidRPr="00D50240">
        <w:t xml:space="preserve">Pomarzanowice, Pobiedziska, w budynkach Zakładu Komunalnego oraz na terenie Ośrodka Sportu </w:t>
      </w:r>
      <w:r w:rsidR="00660FC2">
        <w:br/>
      </w:r>
      <w:r w:rsidRPr="00D50240">
        <w:t>i Rekreacji (</w:t>
      </w:r>
      <w:r w:rsidR="006F620E">
        <w:t>Centrum Integracji Społecznej</w:t>
      </w:r>
      <w:r w:rsidRPr="00D50240">
        <w:t>).</w:t>
      </w:r>
    </w:p>
    <w:p w:rsidR="00BE6A09" w:rsidRPr="00885434" w:rsidRDefault="00BE6A09" w:rsidP="006A2429">
      <w:pPr>
        <w:spacing w:before="60" w:after="60"/>
        <w:jc w:val="both"/>
      </w:pPr>
      <w:r w:rsidRPr="00885434">
        <w:t>Miejscowości Gminy Pobiedziska są wyposażone w infrastrukturę techniczną oświetlenia drogowego w stopniu zadawalającym. Wszystkie podstawowe ciągi dróg i ulic są oświetlone.</w:t>
      </w:r>
      <w:r w:rsidR="008E2813" w:rsidRPr="00885434">
        <w:t xml:space="preserve"> Dla poprawy bezpieczeństwa ruchu kołowego i pieszego oraz dla zmniejszenia energochłonności urządzeń oświetlenia ulicznego i drogowego opracowano program optymalizacji oświetlenia ulicznego Miasta </w:t>
      </w:r>
      <w:r w:rsidR="00660FC2">
        <w:br/>
      </w:r>
      <w:r w:rsidR="008E2813" w:rsidRPr="00885434">
        <w:t>i Gminy.</w:t>
      </w:r>
    </w:p>
    <w:p w:rsidR="00BE6A09" w:rsidRDefault="00BE6A09" w:rsidP="006A2429">
      <w:pPr>
        <w:spacing w:before="60" w:after="60"/>
        <w:jc w:val="both"/>
      </w:pPr>
      <w:r w:rsidRPr="00885434">
        <w:lastRenderedPageBreak/>
        <w:t xml:space="preserve">Stan bezpieczeństwa w ruchu kołowym w gminie mierzony liczbą wypadków drogowych, jak </w:t>
      </w:r>
      <w:r w:rsidR="00660FC2">
        <w:br/>
      </w:r>
      <w:r w:rsidRPr="00885434">
        <w:t>i skutkami tych wypadków, ulega poprawie.</w:t>
      </w:r>
    </w:p>
    <w:p w:rsidR="003526F8" w:rsidRPr="00E46E02" w:rsidRDefault="00C37246" w:rsidP="006A2429">
      <w:pPr>
        <w:pStyle w:val="Legenda"/>
        <w:spacing w:after="0"/>
        <w:rPr>
          <w:b w:val="0"/>
          <w:color w:val="auto"/>
          <w:sz w:val="20"/>
          <w:szCs w:val="20"/>
        </w:rPr>
      </w:pPr>
      <w:r w:rsidRPr="00E46E02">
        <w:rPr>
          <w:b w:val="0"/>
          <w:color w:val="auto"/>
          <w:sz w:val="20"/>
          <w:szCs w:val="20"/>
        </w:rPr>
        <w:t xml:space="preserve">Wykres </w:t>
      </w:r>
      <w:r w:rsidR="00E07640" w:rsidRPr="00E46E02">
        <w:rPr>
          <w:b w:val="0"/>
          <w:color w:val="auto"/>
          <w:sz w:val="20"/>
          <w:szCs w:val="20"/>
        </w:rPr>
        <w:fldChar w:fldCharType="begin"/>
      </w:r>
      <w:r w:rsidRPr="00E46E02">
        <w:rPr>
          <w:b w:val="0"/>
          <w:color w:val="auto"/>
          <w:sz w:val="20"/>
          <w:szCs w:val="20"/>
        </w:rPr>
        <w:instrText xml:space="preserve"> SEQ Wykres \* ARABIC </w:instrText>
      </w:r>
      <w:r w:rsidR="00E07640" w:rsidRPr="00E46E02">
        <w:rPr>
          <w:b w:val="0"/>
          <w:color w:val="auto"/>
          <w:sz w:val="20"/>
          <w:szCs w:val="20"/>
        </w:rPr>
        <w:fldChar w:fldCharType="separate"/>
      </w:r>
      <w:r w:rsidR="00D540D9">
        <w:rPr>
          <w:b w:val="0"/>
          <w:noProof/>
          <w:color w:val="auto"/>
          <w:sz w:val="20"/>
          <w:szCs w:val="20"/>
        </w:rPr>
        <w:t>33</w:t>
      </w:r>
      <w:r w:rsidR="00E07640" w:rsidRPr="00E46E02">
        <w:rPr>
          <w:b w:val="0"/>
          <w:color w:val="auto"/>
          <w:sz w:val="20"/>
          <w:szCs w:val="20"/>
        </w:rPr>
        <w:fldChar w:fldCharType="end"/>
      </w:r>
      <w:r w:rsidRPr="00E46E02">
        <w:rPr>
          <w:b w:val="0"/>
          <w:color w:val="auto"/>
          <w:sz w:val="20"/>
          <w:szCs w:val="20"/>
        </w:rPr>
        <w:t>.</w:t>
      </w:r>
    </w:p>
    <w:p w:rsidR="003526F8" w:rsidRPr="00885434" w:rsidRDefault="003526F8" w:rsidP="00E46E02">
      <w:pPr>
        <w:spacing w:after="0" w:line="240" w:lineRule="auto"/>
        <w:jc w:val="center"/>
      </w:pPr>
      <w:r w:rsidRPr="00885434">
        <w:rPr>
          <w:noProof/>
        </w:rPr>
        <w:drawing>
          <wp:inline distT="0" distB="0" distL="0" distR="0">
            <wp:extent cx="4576430" cy="2668772"/>
            <wp:effectExtent l="0" t="0" r="0" b="0"/>
            <wp:docPr id="2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526F8" w:rsidRPr="00E46E02" w:rsidRDefault="003526F8" w:rsidP="00BE6A09">
      <w:pPr>
        <w:rPr>
          <w:sz w:val="20"/>
          <w:szCs w:val="20"/>
        </w:rPr>
      </w:pPr>
      <w:r w:rsidRPr="00E46E02">
        <w:rPr>
          <w:sz w:val="20"/>
          <w:szCs w:val="20"/>
        </w:rPr>
        <w:t>Źródło: opracowanie własne na podstawie danych zawartych w Biuletynie nr 177, wrzesień 2011 r.</w:t>
      </w:r>
    </w:p>
    <w:p w:rsidR="00C37246" w:rsidRPr="00C37246" w:rsidRDefault="00C37246" w:rsidP="00C37246">
      <w:pPr>
        <w:spacing w:after="0"/>
        <w:jc w:val="both"/>
      </w:pPr>
      <w:r w:rsidRPr="00C37246">
        <w:t>Na terenie Miasta i Gminy Pobiedziska radiowym systemem alarmowania objęte są:</w:t>
      </w:r>
    </w:p>
    <w:p w:rsidR="00C37246" w:rsidRPr="00C37246" w:rsidRDefault="00C37246" w:rsidP="00E84FFC">
      <w:pPr>
        <w:pStyle w:val="Akapitzlist"/>
        <w:numPr>
          <w:ilvl w:val="0"/>
          <w:numId w:val="13"/>
        </w:numPr>
        <w:spacing w:line="276" w:lineRule="auto"/>
        <w:jc w:val="both"/>
        <w:rPr>
          <w:rFonts w:asciiTheme="minorHAnsi" w:hAnsiTheme="minorHAnsi"/>
          <w:sz w:val="22"/>
        </w:rPr>
      </w:pPr>
      <w:r w:rsidRPr="00C37246">
        <w:rPr>
          <w:rFonts w:asciiTheme="minorHAnsi" w:hAnsiTheme="minorHAnsi"/>
          <w:sz w:val="22"/>
        </w:rPr>
        <w:t>Pobiedziska-syrena alarmowa na bibliotece ul. Wł. Jagiełły,</w:t>
      </w:r>
    </w:p>
    <w:p w:rsidR="00C37246" w:rsidRPr="00C37246" w:rsidRDefault="00C37246" w:rsidP="00E84FFC">
      <w:pPr>
        <w:pStyle w:val="Akapitzlist"/>
        <w:numPr>
          <w:ilvl w:val="0"/>
          <w:numId w:val="13"/>
        </w:numPr>
        <w:spacing w:line="276" w:lineRule="auto"/>
        <w:jc w:val="both"/>
        <w:rPr>
          <w:rFonts w:asciiTheme="minorHAnsi" w:hAnsiTheme="minorHAnsi"/>
          <w:sz w:val="22"/>
        </w:rPr>
      </w:pPr>
      <w:r w:rsidRPr="00C37246">
        <w:rPr>
          <w:rFonts w:asciiTheme="minorHAnsi" w:hAnsiTheme="minorHAnsi"/>
          <w:sz w:val="22"/>
        </w:rPr>
        <w:t>Pobiedziska-syrena na budynku zakładów Synteza przy ul. Fabrycznej,</w:t>
      </w:r>
    </w:p>
    <w:p w:rsidR="00C37246" w:rsidRPr="00C37246" w:rsidRDefault="00C37246" w:rsidP="00E84FFC">
      <w:pPr>
        <w:pStyle w:val="Akapitzlist"/>
        <w:numPr>
          <w:ilvl w:val="0"/>
          <w:numId w:val="13"/>
        </w:numPr>
        <w:spacing w:line="276" w:lineRule="auto"/>
        <w:jc w:val="both"/>
        <w:rPr>
          <w:rFonts w:asciiTheme="minorHAnsi" w:hAnsiTheme="minorHAnsi"/>
          <w:sz w:val="22"/>
        </w:rPr>
      </w:pPr>
      <w:r w:rsidRPr="00C37246">
        <w:rPr>
          <w:rFonts w:asciiTheme="minorHAnsi" w:hAnsiTheme="minorHAnsi"/>
          <w:sz w:val="22"/>
        </w:rPr>
        <w:t>Biskupice-syrena na budynku remizy OSP.</w:t>
      </w:r>
    </w:p>
    <w:p w:rsidR="00C37246" w:rsidRPr="00C37246" w:rsidRDefault="00C37246" w:rsidP="00E46E02">
      <w:pPr>
        <w:spacing w:before="60" w:after="60"/>
        <w:jc w:val="both"/>
      </w:pPr>
      <w:r w:rsidRPr="00C37246">
        <w:t>Syreny te można włączyć drogą radiową</w:t>
      </w:r>
      <w:r w:rsidR="00F57003">
        <w:t xml:space="preserve"> </w:t>
      </w:r>
      <w:r w:rsidR="00F57003" w:rsidRPr="00306F0C">
        <w:t>z Wydziału Bezpieczeństwa i Zarządzania Kr</w:t>
      </w:r>
      <w:r w:rsidR="00306F0C" w:rsidRPr="00306F0C">
        <w:t xml:space="preserve">yzysowego Urzędu Wojewódzkiego </w:t>
      </w:r>
      <w:r w:rsidR="00F57003" w:rsidRPr="00306F0C">
        <w:t>w Poznaniu, Starostwa Powiatowego w Poznaniu oraz Centrum Zarządzania Kryzysowego Urzędu Miasta i Gminy Pobiedziska.</w:t>
      </w:r>
      <w:r w:rsidR="00F57003" w:rsidRPr="00F57003">
        <w:rPr>
          <w:color w:val="FF0000"/>
        </w:rPr>
        <w:t xml:space="preserve"> </w:t>
      </w:r>
      <w:r w:rsidR="00F57003">
        <w:t>Niestety, ze względu</w:t>
      </w:r>
      <w:r w:rsidRPr="00C37246">
        <w:t xml:space="preserve"> na brak środków finansowych nie udało się uruchomić d</w:t>
      </w:r>
      <w:r>
        <w:t>odatkowych punktów alarmowania.</w:t>
      </w:r>
    </w:p>
    <w:p w:rsidR="003526F8" w:rsidRDefault="00C37246" w:rsidP="00E46E02">
      <w:pPr>
        <w:spacing w:before="60" w:after="60"/>
        <w:jc w:val="both"/>
      </w:pPr>
      <w:r>
        <w:t>Ponadto uruchomiono</w:t>
      </w:r>
      <w:r w:rsidR="00F57003">
        <w:t xml:space="preserve"> n</w:t>
      </w:r>
      <w:r>
        <w:t xml:space="preserve">a terenie gminy samorządowy system powiadamiania ludności poprzez SMS o różnego typu zdarzeniach np. informacja o zjawiskach atmosferycznych o charakterze klęsk żywiołowych. Mieszkańcy </w:t>
      </w:r>
      <w:r w:rsidR="00EB6276">
        <w:t>s</w:t>
      </w:r>
      <w:r>
        <w:t>ą informowani za pomocą gminnej strony internetowej, plakatów oraz ulotek o możliwości wpisania się do bazy.</w:t>
      </w:r>
      <w:r w:rsidR="00EB6276">
        <w:t xml:space="preserve"> </w:t>
      </w:r>
      <w:r w:rsidR="00EB6276" w:rsidRPr="00EB6276">
        <w:t>Usługa SiSMS jest dostępna dla wszystkich</w:t>
      </w:r>
      <w:r w:rsidR="00EB6276" w:rsidRPr="00306F0C">
        <w:t xml:space="preserve"> </w:t>
      </w:r>
      <w:r w:rsidR="00F57003" w:rsidRPr="00306F0C">
        <w:t>osób zainteresowanych</w:t>
      </w:r>
      <w:r w:rsidR="00EB6276" w:rsidRPr="00306F0C">
        <w:t xml:space="preserve">. </w:t>
      </w:r>
      <w:r w:rsidR="00EB6276" w:rsidRPr="00EB6276">
        <w:t>Każdy ma możliwość zamówienia darmowych sms</w:t>
      </w:r>
      <w:r w:rsidR="00EB6276">
        <w:t>-</w:t>
      </w:r>
      <w:r w:rsidR="00EB6276" w:rsidRPr="00EB6276">
        <w:t xml:space="preserve">ów na temat wybranych przez siebie dziedzin. Z Urzędu Miasta i Gminy wysyłane </w:t>
      </w:r>
      <w:r w:rsidR="00C70FEA" w:rsidRPr="00306F0C">
        <w:t>są</w:t>
      </w:r>
      <w:r w:rsidR="00C70FEA">
        <w:rPr>
          <w:color w:val="FF0000"/>
        </w:rPr>
        <w:t xml:space="preserve"> </w:t>
      </w:r>
      <w:r w:rsidR="00EB6276" w:rsidRPr="00EB6276">
        <w:t>wiadomości dotyczące m.in. wydarzeń kulturalnych i sportowych, oświaty, zdrowia, zarządzania kryzysowego (gwałtowne opady, silne wiatry, burze itp.), komunikaty o przerwach w dostawie mediów, informacje o przetargach</w:t>
      </w:r>
      <w:r w:rsidR="00F57003">
        <w:t xml:space="preserve">, </w:t>
      </w:r>
      <w:r w:rsidR="00F57003" w:rsidRPr="00306F0C">
        <w:t>zamknięciach dróg np. w związku z budową kanalizacji czy remontami</w:t>
      </w:r>
      <w:r w:rsidR="00EB6276" w:rsidRPr="00EB6276">
        <w:t>. Każda osoba zamawiająca subskrypcję, może wybrać dowolną ilość interesujących ją tematów.</w:t>
      </w:r>
    </w:p>
    <w:p w:rsidR="003D08EB" w:rsidRDefault="003D08EB" w:rsidP="00E46E02">
      <w:pPr>
        <w:spacing w:before="60" w:after="60"/>
        <w:jc w:val="both"/>
      </w:pPr>
      <w:r>
        <w:t xml:space="preserve">Na terenie miasta i gminy nie ma zakładów zakwalifikowanych do grupy o </w:t>
      </w:r>
      <w:r w:rsidR="00F03DEA">
        <w:t>dużym</w:t>
      </w:r>
      <w:r>
        <w:t xml:space="preserve"> ryzyku </w:t>
      </w:r>
      <w:r w:rsidR="00382009">
        <w:br/>
      </w:r>
      <w:r>
        <w:t xml:space="preserve">i zwiększonym ryzyku wystąpienia </w:t>
      </w:r>
      <w:r w:rsidR="00F03DEA">
        <w:t>poważnych</w:t>
      </w:r>
      <w:r>
        <w:t xml:space="preserve"> awarii przemysłowych. Jednak w skali lokalnej istotne jest zapewnienie bezpieczeństwa ludności w przypadku awarii w istniejących zakładach związanych </w:t>
      </w:r>
      <w:r w:rsidR="00382009">
        <w:br/>
      </w:r>
      <w:r>
        <w:t>z produkcją o profilu chemicznym, stacjach benzynowych lub stolarniach.</w:t>
      </w:r>
    </w:p>
    <w:p w:rsidR="00C37246" w:rsidRDefault="003D08EB" w:rsidP="00E46E02">
      <w:pPr>
        <w:spacing w:before="60" w:after="60"/>
        <w:jc w:val="both"/>
      </w:pPr>
      <w:r>
        <w:t>Pogorszenie sytuacji w zakresie awarii przemysłowych obserwowane jest na terenach PKP, a wynika to ze złego stanu technicznego taboru kolejowego. Pogorszenie odnotowuje się te</w:t>
      </w:r>
      <w:r w:rsidR="00F03DEA">
        <w:t>ż</w:t>
      </w:r>
      <w:r>
        <w:t xml:space="preserve"> w transporcie drogowym, gdzie rośnie ilość wypadków z udziałem środków niebezpiecznych. Jest to wynik </w:t>
      </w:r>
      <w:r w:rsidR="00F03DEA">
        <w:t>wzmożonego</w:t>
      </w:r>
      <w:r>
        <w:t xml:space="preserve"> ruchu kołowego, wzrostu ilości </w:t>
      </w:r>
      <w:r w:rsidR="00F03DEA">
        <w:t>przewożonych</w:t>
      </w:r>
      <w:r>
        <w:t xml:space="preserve"> niebezpiecznych substancji oraz złego </w:t>
      </w:r>
      <w:r>
        <w:lastRenderedPageBreak/>
        <w:t>stanu technicznego dróg i pojazdów. Biorąc to pod uwagę, za potencjalne źródło awarii przemysłowych mo</w:t>
      </w:r>
      <w:r w:rsidR="00F03DEA">
        <w:t>ż</w:t>
      </w:r>
      <w:r>
        <w:t xml:space="preserve">na uznać drogi wojewódzkie oraz stacje paliw jako miejsca wypadków drogowych i </w:t>
      </w:r>
      <w:r w:rsidR="00F03DEA">
        <w:t>zagrożeń</w:t>
      </w:r>
      <w:r>
        <w:t xml:space="preserve"> produktami ropopochodnymi dla gleb i wód</w:t>
      </w:r>
      <w:r w:rsidR="00F03DEA">
        <w:rPr>
          <w:rStyle w:val="Odwoanieprzypisudolnego"/>
        </w:rPr>
        <w:footnoteReference w:id="12"/>
      </w:r>
      <w:r>
        <w:t>.</w:t>
      </w:r>
    </w:p>
    <w:p w:rsidR="00F11636" w:rsidRPr="00306F0C" w:rsidRDefault="00F11636" w:rsidP="00E46E02">
      <w:pPr>
        <w:spacing w:before="60" w:after="60"/>
        <w:jc w:val="both"/>
      </w:pPr>
      <w:r w:rsidRPr="00306F0C">
        <w:t>Najważniejsze dla bezpieczeństwa punkty miasta jak</w:t>
      </w:r>
      <w:r w:rsidR="00306F0C">
        <w:t>:</w:t>
      </w:r>
      <w:r w:rsidRPr="00306F0C">
        <w:t xml:space="preserve"> Rynek, targowisko, teren wokół Zespołu Szkół </w:t>
      </w:r>
      <w:r w:rsidR="00382009">
        <w:br/>
      </w:r>
      <w:r w:rsidRPr="00306F0C">
        <w:t>w Pobiedziskach oraz Ośrodka Kultury, ul. K. Odnowiciela i stacja PKP są całodobowo monitorowane.</w:t>
      </w:r>
    </w:p>
    <w:p w:rsidR="00F11636" w:rsidRPr="00306F0C" w:rsidRDefault="00F11636" w:rsidP="00E46E02">
      <w:pPr>
        <w:spacing w:before="60" w:after="60"/>
        <w:jc w:val="both"/>
      </w:pPr>
      <w:r w:rsidRPr="00306F0C">
        <w:t>Dnia 01 lipca 2011 r. została uruchomiona Stacja Wyczekiwania Pogotowia Ratunkowego. Całodobowo pełnią dyżur ratownicy medyczni gotowi do natychmiastowego wyjazdu w celu udzielenia pomocy medycznej.</w:t>
      </w:r>
    </w:p>
    <w:p w:rsidR="003D35E2" w:rsidRPr="00885434" w:rsidRDefault="00535843" w:rsidP="00F03DEA">
      <w:pPr>
        <w:jc w:val="both"/>
      </w:pPr>
      <w:r>
        <w:pict>
          <v:shape id="_x0000_s1035" type="#_x0000_t185" style="width:131.2pt;height:450.75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35;mso-fit-shape-to-text:t" inset="18pt,18pt,,18pt">
              <w:txbxContent>
                <w:p w:rsidR="00291CA0" w:rsidRPr="00E46E02" w:rsidRDefault="00291CA0" w:rsidP="00E46E02">
                  <w:pPr>
                    <w:spacing w:before="60" w:after="60"/>
                    <w:jc w:val="both"/>
                    <w:rPr>
                      <w:b/>
                      <w:i/>
                      <w:iCs/>
                      <w:color w:val="943634" w:themeColor="accent2" w:themeShade="BF"/>
                    </w:rPr>
                  </w:pPr>
                  <w:r w:rsidRPr="00E46E02">
                    <w:rPr>
                      <w:b/>
                      <w:i/>
                      <w:iCs/>
                      <w:color w:val="943634" w:themeColor="accent2" w:themeShade="BF"/>
                    </w:rPr>
                    <w:t>KONKLUZJE STRATEGICZNE</w:t>
                  </w:r>
                </w:p>
                <w:p w:rsidR="00291CA0" w:rsidRPr="00306F0C" w:rsidRDefault="00291CA0" w:rsidP="00E46E02">
                  <w:pPr>
                    <w:spacing w:before="60" w:after="60"/>
                    <w:jc w:val="both"/>
                    <w:rPr>
                      <w:b/>
                      <w:i/>
                      <w:iCs/>
                      <w:color w:val="808080" w:themeColor="background1" w:themeShade="80"/>
                    </w:rPr>
                  </w:pPr>
                  <w:r w:rsidRPr="00306F0C">
                    <w:rPr>
                      <w:b/>
                      <w:i/>
                      <w:iCs/>
                      <w:color w:val="808080" w:themeColor="background1" w:themeShade="80"/>
                    </w:rPr>
                    <w:t>Środki finansowe przeznaczane przez Gminę na wyposażenie i działalność Ochotniczych Straży Pożarnych, pomoc Policji, uruchomienie Samorządowego Informatora SIMS, monitoring miasta czy uruchomienie Stacji Wyc</w:t>
                  </w:r>
                  <w:r>
                    <w:rPr>
                      <w:b/>
                      <w:i/>
                      <w:iCs/>
                      <w:color w:val="808080" w:themeColor="background1" w:themeShade="80"/>
                    </w:rPr>
                    <w:t>zekiwania Pogotowia Ratunkowego</w:t>
                  </w:r>
                  <w:r w:rsidRPr="00306F0C">
                    <w:rPr>
                      <w:b/>
                      <w:i/>
                      <w:iCs/>
                      <w:color w:val="808080" w:themeColor="background1" w:themeShade="80"/>
                    </w:rPr>
                    <w:t xml:space="preserve"> przekłada się w odczuciu mieszkańców na poczucie bezpieczeństwa.</w:t>
                  </w:r>
                </w:p>
              </w:txbxContent>
            </v:textbox>
            <w10:wrap type="none" anchorx="margin" anchory="margin"/>
            <w10:anchorlock/>
          </v:shape>
        </w:pict>
      </w:r>
    </w:p>
    <w:p w:rsidR="009A7ABC" w:rsidRPr="00885434" w:rsidRDefault="00927DA9" w:rsidP="00927DA9">
      <w:pPr>
        <w:pStyle w:val="Nagwek2"/>
        <w:ind w:left="360"/>
        <w:rPr>
          <w:rFonts w:asciiTheme="minorHAnsi" w:hAnsiTheme="minorHAnsi"/>
          <w:color w:val="943634" w:themeColor="accent2" w:themeShade="BF"/>
        </w:rPr>
      </w:pPr>
      <w:bookmarkStart w:id="24" w:name="_Toc321135341"/>
      <w:r w:rsidRPr="00885434">
        <w:rPr>
          <w:rFonts w:asciiTheme="minorHAnsi" w:hAnsiTheme="minorHAnsi"/>
          <w:color w:val="943634" w:themeColor="accent2" w:themeShade="BF"/>
        </w:rPr>
        <w:t>5. 1</w:t>
      </w:r>
      <w:r w:rsidR="002511E9" w:rsidRPr="00885434">
        <w:rPr>
          <w:rFonts w:asciiTheme="minorHAnsi" w:hAnsiTheme="minorHAnsi"/>
          <w:color w:val="943634" w:themeColor="accent2" w:themeShade="BF"/>
        </w:rPr>
        <w:t>4</w:t>
      </w:r>
      <w:r w:rsidRPr="00885434">
        <w:rPr>
          <w:rFonts w:asciiTheme="minorHAnsi" w:hAnsiTheme="minorHAnsi"/>
          <w:color w:val="943634" w:themeColor="accent2" w:themeShade="BF"/>
        </w:rPr>
        <w:t xml:space="preserve"> </w:t>
      </w:r>
      <w:r w:rsidR="009A7ABC" w:rsidRPr="00885434">
        <w:rPr>
          <w:rFonts w:asciiTheme="minorHAnsi" w:hAnsiTheme="minorHAnsi"/>
          <w:color w:val="943634" w:themeColor="accent2" w:themeShade="BF"/>
        </w:rPr>
        <w:t>Analiza położenia gminy, analiza przestrzenna</w:t>
      </w:r>
      <w:r w:rsidR="002511E9" w:rsidRPr="00885434">
        <w:rPr>
          <w:rFonts w:asciiTheme="minorHAnsi" w:hAnsiTheme="minorHAnsi"/>
          <w:color w:val="943634" w:themeColor="accent2" w:themeShade="BF"/>
        </w:rPr>
        <w:t>, struktura władania gruntami</w:t>
      </w:r>
      <w:bookmarkEnd w:id="24"/>
    </w:p>
    <w:p w:rsidR="0060266F" w:rsidRDefault="002511E9" w:rsidP="00E46E02">
      <w:pPr>
        <w:spacing w:before="60" w:after="60"/>
        <w:jc w:val="both"/>
      </w:pPr>
      <w:r w:rsidRPr="00885434">
        <w:t xml:space="preserve">Gmina Pobiedziska leży </w:t>
      </w:r>
      <w:r w:rsidR="0060266F" w:rsidRPr="00885434">
        <w:t>w północno-wschodniej części województwa Wielkopolskiego, przy wschodniej granicy powiatu poznańskiego</w:t>
      </w:r>
      <w:r w:rsidRPr="00885434">
        <w:t xml:space="preserve">. </w:t>
      </w:r>
      <w:r w:rsidR="00E45335" w:rsidRPr="00885434">
        <w:t>G</w:t>
      </w:r>
      <w:r w:rsidR="0060266F" w:rsidRPr="00885434">
        <w:t xml:space="preserve">raniczy od zachodu z gminami Swarzędz, Czerwonak </w:t>
      </w:r>
      <w:r w:rsidR="00382009">
        <w:br/>
      </w:r>
      <w:r w:rsidR="0060266F" w:rsidRPr="00885434">
        <w:t>i Murowana Goślina (pow. poznański), od południa z gminą Kostrzyn w pow. poznańskim, z gminą Nekla w pow. wrzesińskim, od wschodu z gminami Łubowo i Czerniejewo w pow. gnieźnieńskim, a od północy z gminą Kiszkowo (pow. gnieźnieński).</w:t>
      </w:r>
    </w:p>
    <w:p w:rsidR="00A54851" w:rsidRDefault="00A54851" w:rsidP="00E46E02">
      <w:pPr>
        <w:spacing w:before="60" w:after="60"/>
        <w:jc w:val="both"/>
      </w:pPr>
      <w:r w:rsidRPr="00A54851">
        <w:t xml:space="preserve">Pobiedziska leżą na Szlaku Piastowskim, który związany jest z Początkami Państwa Polskiego </w:t>
      </w:r>
      <w:r w:rsidR="00382009">
        <w:br/>
      </w:r>
      <w:r w:rsidRPr="00A54851">
        <w:t>i władającą ziemiami polskimi w okresie wczesnośredniowiecznym (X wiek) dynastią Piastów. Przebieg szlaku wytyczają najważniejsze polityczne ośrodki Polski Piastowskiej.</w:t>
      </w:r>
    </w:p>
    <w:p w:rsidR="00A54851" w:rsidRPr="00885434" w:rsidRDefault="00A54851" w:rsidP="00E46E02">
      <w:pPr>
        <w:spacing w:before="60" w:after="60"/>
        <w:jc w:val="both"/>
      </w:pPr>
      <w:r w:rsidRPr="00A54851">
        <w:t>Część północno-zachodnią oraz pas środkowy zajmuje równina natomiast w północno-wschodniej części znajdują się wysoczyzny morenowe płaskie i faliste zbudowane z piasków oraz glin zwałowych. Najatrakcyjniejsze przyrodniczo tereny gminy zostały włączone do dwóch parków krajobrazowych: "Puszcza Zielonka" oraz park "Promno", który prawie w całości znajduje się na obszarze gminy.</w:t>
      </w:r>
    </w:p>
    <w:p w:rsidR="009E0D58" w:rsidRDefault="00E45335" w:rsidP="00E46E02">
      <w:pPr>
        <w:spacing w:before="60" w:after="60"/>
        <w:jc w:val="both"/>
      </w:pPr>
      <w:r w:rsidRPr="00885434">
        <w:t xml:space="preserve">Miasto Pobiedziska położone jest w środkowo-wschodniej części gminy, w odległości 27 km od Poznania i ok. 25 km od Gniezna. </w:t>
      </w:r>
      <w:r w:rsidR="009E0D58" w:rsidRPr="00885434">
        <w:t xml:space="preserve">Miasto jako ośrodek gminny skupia przede wszystkim funkcje usługowe, mieszkaniowe i produkcyjne. Mieszka tu blisko połowa wszystkich mieszkańców gminy. Wsie, obok funkcji związanych z rolnictwem, pełnią również funkcje mieszkaniowe, wypoczynkowe, </w:t>
      </w:r>
      <w:r w:rsidR="00382009">
        <w:br/>
      </w:r>
      <w:r w:rsidR="009E0D58" w:rsidRPr="00885434">
        <w:t>a niektóre z nich produkcyjne.</w:t>
      </w:r>
    </w:p>
    <w:p w:rsidR="00E8784B" w:rsidRDefault="00E8784B">
      <w:r>
        <w:rPr>
          <w:b/>
          <w:bCs/>
        </w:rPr>
        <w:br w:type="page"/>
      </w:r>
    </w:p>
    <w:p w:rsidR="007D6265" w:rsidRPr="00E46E02" w:rsidRDefault="007D6265" w:rsidP="007D6265">
      <w:pPr>
        <w:pStyle w:val="Legenda"/>
        <w:spacing w:after="0"/>
        <w:rPr>
          <w:b w:val="0"/>
          <w:color w:val="auto"/>
          <w:sz w:val="20"/>
          <w:szCs w:val="20"/>
        </w:rPr>
      </w:pPr>
      <w:r w:rsidRPr="00E46E02">
        <w:rPr>
          <w:b w:val="0"/>
          <w:color w:val="auto"/>
          <w:sz w:val="20"/>
          <w:szCs w:val="20"/>
        </w:rPr>
        <w:lastRenderedPageBreak/>
        <w:t xml:space="preserve">Rysunek </w:t>
      </w:r>
      <w:r w:rsidR="00E07640" w:rsidRPr="00E46E02">
        <w:rPr>
          <w:b w:val="0"/>
          <w:color w:val="auto"/>
          <w:sz w:val="20"/>
          <w:szCs w:val="20"/>
        </w:rPr>
        <w:fldChar w:fldCharType="begin"/>
      </w:r>
      <w:r w:rsidRPr="00E46E02">
        <w:rPr>
          <w:b w:val="0"/>
          <w:color w:val="auto"/>
          <w:sz w:val="20"/>
          <w:szCs w:val="20"/>
        </w:rPr>
        <w:instrText xml:space="preserve"> SEQ Rysunek \* ARABIC </w:instrText>
      </w:r>
      <w:r w:rsidR="00E07640" w:rsidRPr="00E46E02">
        <w:rPr>
          <w:b w:val="0"/>
          <w:color w:val="auto"/>
          <w:sz w:val="20"/>
          <w:szCs w:val="20"/>
        </w:rPr>
        <w:fldChar w:fldCharType="separate"/>
      </w:r>
      <w:r w:rsidR="00782286">
        <w:rPr>
          <w:b w:val="0"/>
          <w:noProof/>
          <w:color w:val="auto"/>
          <w:sz w:val="20"/>
          <w:szCs w:val="20"/>
        </w:rPr>
        <w:t>5</w:t>
      </w:r>
      <w:r w:rsidR="00E07640" w:rsidRPr="00E46E02">
        <w:rPr>
          <w:b w:val="0"/>
          <w:color w:val="auto"/>
          <w:sz w:val="20"/>
          <w:szCs w:val="20"/>
        </w:rPr>
        <w:fldChar w:fldCharType="end"/>
      </w:r>
      <w:r w:rsidRPr="00E46E02">
        <w:rPr>
          <w:b w:val="0"/>
          <w:color w:val="auto"/>
          <w:sz w:val="20"/>
          <w:szCs w:val="20"/>
        </w:rPr>
        <w:t>.</w:t>
      </w:r>
    </w:p>
    <w:p w:rsidR="0075555D" w:rsidRPr="00885434" w:rsidRDefault="0075555D" w:rsidP="00E46E02">
      <w:pPr>
        <w:spacing w:after="0"/>
        <w:jc w:val="center"/>
      </w:pPr>
      <w:r w:rsidRPr="00885434">
        <w:rPr>
          <w:noProof/>
        </w:rPr>
        <w:drawing>
          <wp:inline distT="0" distB="0" distL="0" distR="0">
            <wp:extent cx="5433060" cy="4592955"/>
            <wp:effectExtent l="19050" t="0" r="0" b="0"/>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433060" cy="4592955"/>
                    </a:xfrm>
                    <a:prstGeom prst="rect">
                      <a:avLst/>
                    </a:prstGeom>
                    <a:noFill/>
                    <a:ln w="9525">
                      <a:noFill/>
                      <a:miter lim="800000"/>
                      <a:headEnd/>
                      <a:tailEnd/>
                    </a:ln>
                  </pic:spPr>
                </pic:pic>
              </a:graphicData>
            </a:graphic>
          </wp:inline>
        </w:drawing>
      </w:r>
    </w:p>
    <w:p w:rsidR="0075555D" w:rsidRPr="00E46E02" w:rsidRDefault="0075555D" w:rsidP="00382009">
      <w:pPr>
        <w:spacing w:after="120"/>
        <w:rPr>
          <w:sz w:val="20"/>
          <w:szCs w:val="20"/>
        </w:rPr>
      </w:pPr>
      <w:r w:rsidRPr="00E46E02">
        <w:rPr>
          <w:sz w:val="20"/>
          <w:szCs w:val="20"/>
        </w:rPr>
        <w:t xml:space="preserve">Źródło: </w:t>
      </w:r>
      <w:r w:rsidR="0060266F" w:rsidRPr="00E46E02">
        <w:rPr>
          <w:sz w:val="20"/>
          <w:szCs w:val="20"/>
        </w:rPr>
        <w:t>www.pobiedziska.pl</w:t>
      </w:r>
    </w:p>
    <w:p w:rsidR="0060266F" w:rsidRDefault="0060266F" w:rsidP="00E46E02">
      <w:pPr>
        <w:spacing w:before="60" w:after="60"/>
        <w:jc w:val="both"/>
      </w:pPr>
      <w:r w:rsidRPr="00885434">
        <w:t xml:space="preserve">Gmina podzielona jest na </w:t>
      </w:r>
      <w:r w:rsidR="00C70FEA" w:rsidRPr="00306F0C">
        <w:t xml:space="preserve">22 sołectwa </w:t>
      </w:r>
      <w:r w:rsidR="006F620E">
        <w:t>(</w:t>
      </w:r>
      <w:r w:rsidR="006F620E" w:rsidRPr="00885434">
        <w:t xml:space="preserve">obejmuje </w:t>
      </w:r>
      <w:r w:rsidR="006F620E" w:rsidRPr="00DC0461">
        <w:t>55 wsi</w:t>
      </w:r>
      <w:r w:rsidR="006F620E">
        <w:t>)</w:t>
      </w:r>
      <w:r w:rsidR="006F620E" w:rsidRPr="00885434">
        <w:t xml:space="preserve"> </w:t>
      </w:r>
      <w:r w:rsidR="00C70FEA" w:rsidRPr="00306F0C">
        <w:t>oraz 1 osiedle</w:t>
      </w:r>
      <w:r w:rsidR="00044FDA">
        <w:t>.</w:t>
      </w:r>
      <w:r w:rsidR="008B1BFB" w:rsidRPr="00885434">
        <w:t xml:space="preserve"> </w:t>
      </w:r>
      <w:r w:rsidR="00044FDA">
        <w:t>Łączna powierzchnia gminy to</w:t>
      </w:r>
      <w:r w:rsidR="00306F0C">
        <w:t xml:space="preserve"> </w:t>
      </w:r>
      <w:r w:rsidR="004D192D" w:rsidRPr="00306F0C">
        <w:t xml:space="preserve">189,54 </w:t>
      </w:r>
      <w:r w:rsidRPr="00306F0C">
        <w:t>km</w:t>
      </w:r>
      <w:r w:rsidRPr="00306F0C">
        <w:rPr>
          <w:vertAlign w:val="superscript"/>
        </w:rPr>
        <w:t>2</w:t>
      </w:r>
      <w:r w:rsidR="0044264D" w:rsidRPr="00306F0C">
        <w:t>.</w:t>
      </w:r>
      <w:r w:rsidR="00155F49" w:rsidRPr="00885434">
        <w:t xml:space="preserve"> </w:t>
      </w:r>
      <w:r w:rsidR="00A54851" w:rsidRPr="00A54851">
        <w:t xml:space="preserve">Pobiedziska to największa gmina Powiatu Poznańskiego. </w:t>
      </w:r>
      <w:r w:rsidR="00155F49" w:rsidRPr="00885434">
        <w:t>W strukturze użytkowania gruntów na terenie Gminy Pobiedziska dominują obszary użytkowane rolniczo. Wśród nich największy udział mają grunty orne. Lasy i grunty leśne zajmują około 2</w:t>
      </w:r>
      <w:r w:rsidR="00136E7F" w:rsidRPr="00885434">
        <w:t>5</w:t>
      </w:r>
      <w:r w:rsidR="00155F49" w:rsidRPr="00885434">
        <w:t>% powierzchni gminy. Znaczny odsetek gruntów użytkowanych w inny sposób jest związany w dużej mierze z terenami zajętymi przez kopalnie kruszywa oraz rozbudowaną sieć hydrologiczną.</w:t>
      </w:r>
    </w:p>
    <w:p w:rsidR="00E8784B" w:rsidRDefault="00E8784B">
      <w:r>
        <w:rPr>
          <w:b/>
          <w:bCs/>
        </w:rPr>
        <w:br w:type="page"/>
      </w:r>
    </w:p>
    <w:p w:rsidR="007D6265" w:rsidRPr="00E46E02" w:rsidRDefault="007D6265" w:rsidP="00E46E02">
      <w:pPr>
        <w:pStyle w:val="Legenda"/>
        <w:spacing w:after="0"/>
        <w:rPr>
          <w:b w:val="0"/>
          <w:color w:val="auto"/>
          <w:sz w:val="20"/>
          <w:szCs w:val="20"/>
        </w:rPr>
      </w:pPr>
      <w:r w:rsidRPr="00E46E02">
        <w:rPr>
          <w:b w:val="0"/>
          <w:color w:val="auto"/>
          <w:sz w:val="20"/>
          <w:szCs w:val="20"/>
        </w:rPr>
        <w:lastRenderedPageBreak/>
        <w:t xml:space="preserve">Wykres </w:t>
      </w:r>
      <w:r w:rsidR="00E07640" w:rsidRPr="00E46E02">
        <w:rPr>
          <w:b w:val="0"/>
          <w:color w:val="auto"/>
          <w:sz w:val="20"/>
          <w:szCs w:val="20"/>
        </w:rPr>
        <w:fldChar w:fldCharType="begin"/>
      </w:r>
      <w:r w:rsidRPr="00E46E02">
        <w:rPr>
          <w:b w:val="0"/>
          <w:color w:val="auto"/>
          <w:sz w:val="20"/>
          <w:szCs w:val="20"/>
        </w:rPr>
        <w:instrText xml:space="preserve"> SEQ Wykres \* ARABIC </w:instrText>
      </w:r>
      <w:r w:rsidR="00E07640" w:rsidRPr="00E46E02">
        <w:rPr>
          <w:b w:val="0"/>
          <w:color w:val="auto"/>
          <w:sz w:val="20"/>
          <w:szCs w:val="20"/>
        </w:rPr>
        <w:fldChar w:fldCharType="separate"/>
      </w:r>
      <w:r w:rsidR="00D540D9">
        <w:rPr>
          <w:b w:val="0"/>
          <w:noProof/>
          <w:color w:val="auto"/>
          <w:sz w:val="20"/>
          <w:szCs w:val="20"/>
        </w:rPr>
        <w:t>34</w:t>
      </w:r>
      <w:r w:rsidR="00E07640" w:rsidRPr="00E46E02">
        <w:rPr>
          <w:b w:val="0"/>
          <w:color w:val="auto"/>
          <w:sz w:val="20"/>
          <w:szCs w:val="20"/>
        </w:rPr>
        <w:fldChar w:fldCharType="end"/>
      </w:r>
      <w:r w:rsidRPr="00E46E02">
        <w:rPr>
          <w:b w:val="0"/>
          <w:color w:val="auto"/>
          <w:sz w:val="20"/>
          <w:szCs w:val="20"/>
        </w:rPr>
        <w:t>.</w:t>
      </w:r>
    </w:p>
    <w:p w:rsidR="0060266F" w:rsidRPr="00885434" w:rsidRDefault="00A96CCD" w:rsidP="003B1763">
      <w:pPr>
        <w:spacing w:after="0"/>
      </w:pPr>
      <w:r w:rsidRPr="00885434">
        <w:rPr>
          <w:noProof/>
        </w:rPr>
        <w:drawing>
          <wp:inline distT="0" distB="0" distL="0" distR="0">
            <wp:extent cx="2539586" cy="2743200"/>
            <wp:effectExtent l="0" t="0" r="0" b="0"/>
            <wp:docPr id="1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C8078A" w:rsidRPr="00885434">
        <w:rPr>
          <w:noProof/>
        </w:rPr>
        <w:drawing>
          <wp:inline distT="0" distB="0" distL="0" distR="0">
            <wp:extent cx="3128188" cy="2743200"/>
            <wp:effectExtent l="0" t="0" r="0" b="0"/>
            <wp:docPr id="1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0266F" w:rsidRPr="00E46E02" w:rsidRDefault="00A96CCD" w:rsidP="00306F0C">
      <w:pPr>
        <w:spacing w:after="0"/>
        <w:rPr>
          <w:sz w:val="20"/>
          <w:szCs w:val="20"/>
        </w:rPr>
      </w:pPr>
      <w:r w:rsidRPr="00E46E02">
        <w:rPr>
          <w:sz w:val="20"/>
          <w:szCs w:val="20"/>
        </w:rPr>
        <w:t xml:space="preserve">Źródło: </w:t>
      </w:r>
      <w:r w:rsidR="005D5289" w:rsidRPr="00E46E02">
        <w:rPr>
          <w:sz w:val="20"/>
          <w:szCs w:val="20"/>
        </w:rPr>
        <w:t xml:space="preserve">opracowanie własne na podstawie danych </w:t>
      </w:r>
      <w:r w:rsidRPr="00E46E02">
        <w:rPr>
          <w:sz w:val="20"/>
          <w:szCs w:val="20"/>
        </w:rPr>
        <w:t>Studium zagospodarowania przestrzennego.</w:t>
      </w:r>
    </w:p>
    <w:p w:rsidR="005D5289" w:rsidRPr="00885434" w:rsidRDefault="00561342" w:rsidP="00306F0C">
      <w:pPr>
        <w:spacing w:before="60" w:after="0"/>
        <w:jc w:val="both"/>
      </w:pPr>
      <w:r w:rsidRPr="00885434">
        <w:t xml:space="preserve">Jak wynika z powyższego zestawienia prawie połowa powierzchni całej gminy to grunty państwowe </w:t>
      </w:r>
      <w:r w:rsidR="00382009">
        <w:br/>
      </w:r>
      <w:r w:rsidR="00B92277" w:rsidRPr="00885434">
        <w:t>z czego ponad 44</w:t>
      </w:r>
      <w:r w:rsidRPr="00885434">
        <w:t>% stanowią lasy pań</w:t>
      </w:r>
      <w:r w:rsidR="00136E7F" w:rsidRPr="00885434">
        <w:t>stwowe</w:t>
      </w:r>
      <w:r w:rsidRPr="00885434">
        <w:t xml:space="preserve">. </w:t>
      </w:r>
      <w:r w:rsidR="00B92277" w:rsidRPr="00885434">
        <w:t>38</w:t>
      </w:r>
      <w:r w:rsidRPr="00885434">
        <w:t xml:space="preserve">% powierzchni gminy należy do </w:t>
      </w:r>
      <w:r w:rsidR="00C8078A" w:rsidRPr="00885434">
        <w:t>osób prywatnych</w:t>
      </w:r>
      <w:r w:rsidRPr="00885434">
        <w:t xml:space="preserve">. Grunty gminne stanowią 4,3 %. Pozostałe to tereny komunikacyjne, wody powierzchniowe płynące </w:t>
      </w:r>
      <w:r w:rsidR="00382009">
        <w:br/>
      </w:r>
      <w:r w:rsidRPr="00885434">
        <w:t>i stojące oraz nieużytki.</w:t>
      </w:r>
    </w:p>
    <w:p w:rsidR="005D5289" w:rsidRPr="00885434" w:rsidRDefault="00E610D3" w:rsidP="00E46E02">
      <w:pPr>
        <w:spacing w:before="60" w:after="60"/>
        <w:jc w:val="both"/>
      </w:pPr>
      <w:r w:rsidRPr="00885434">
        <w:t>W gminie Pobiedziska rolnictwo stanowi główną funkcję gminy. Tereny w północno-wschodniej, środkowej oraz południowej części gminy należą do III-IV klasy gruntów ornych i są predysponowane do intensywnego rolnictwa. W granicach parków krajobrazowych oraz ich otulinach wskazany jest rozwój rolnictwa ekologicznego. Obszary słabych gleb klasy VI predestynowane są do zalesiania głównie w południowo-wschodniej części gminy.</w:t>
      </w:r>
      <w:r w:rsidR="002650C5">
        <w:t xml:space="preserve"> </w:t>
      </w:r>
      <w:r w:rsidR="002650C5" w:rsidRPr="002650C5">
        <w:t>Zadanie zalesiania gruntów rolnych o niskim współczynniku bonitacji realizuje Starostwo Powiatowe w porozumieniu z właściwym nadleśnictwem.</w:t>
      </w:r>
      <w:r w:rsidR="002650C5">
        <w:t xml:space="preserve"> </w:t>
      </w:r>
      <w:r w:rsidR="002650C5" w:rsidRPr="002650C5">
        <w:t>Aktualnie zalesiono ok.4 ha gruntów rolnych (tereny Wronczyn oraz Wagowo).</w:t>
      </w:r>
    </w:p>
    <w:p w:rsidR="00424ED2" w:rsidRPr="00885434" w:rsidRDefault="00E610D3" w:rsidP="00E46E02">
      <w:pPr>
        <w:spacing w:before="60" w:after="60"/>
        <w:jc w:val="both"/>
      </w:pPr>
      <w:r w:rsidRPr="00885434">
        <w:t xml:space="preserve">Rozwój funkcji mieszkaniowej powinien dotyczyć głównie istniejących jednostek osadniczych </w:t>
      </w:r>
      <w:r w:rsidR="00382009">
        <w:br/>
      </w:r>
      <w:r w:rsidRPr="00885434">
        <w:t>z zachowaniem zabudowy. Ograniczenie dla rozwoju sieci osadniczej poszczególnych wsi oraz samego miasta stanowią przede wszystkim dobre gleby oraz obszary chronione.</w:t>
      </w:r>
    </w:p>
    <w:p w:rsidR="00424ED2" w:rsidRPr="00885434" w:rsidRDefault="00E610D3" w:rsidP="00E46E02">
      <w:pPr>
        <w:spacing w:before="60" w:after="60"/>
        <w:jc w:val="both"/>
      </w:pPr>
      <w:r w:rsidRPr="00885434">
        <w:t>Tereny przemysłowe znajdują się w mieście Pobiedziska. Rozwój terenów przemysłowych związanych z obsługą gospodarstw rolnych, hodowlanych, ogrodniczych, możliwy jest na terenach rolniczych (klasy gruntów II-IV) położonych poza granicami parków krajobrazowych.</w:t>
      </w:r>
      <w:r w:rsidR="00854318">
        <w:t xml:space="preserve"> </w:t>
      </w:r>
      <w:r w:rsidR="00854318" w:rsidRPr="00854318">
        <w:t xml:space="preserve">Tereny przeznaczone pod rozwój przemysłu rolno-spożywczego </w:t>
      </w:r>
      <w:r w:rsidR="00854318">
        <w:t>są systematycznie uzbrajane</w:t>
      </w:r>
      <w:r w:rsidR="00854318" w:rsidRPr="00854318">
        <w:t xml:space="preserve"> we wszystkie media tj. prąd, woda, gaz, kanalizacja.</w:t>
      </w:r>
    </w:p>
    <w:p w:rsidR="00424ED2" w:rsidRPr="00885434" w:rsidRDefault="008338D9" w:rsidP="00E46E02">
      <w:pPr>
        <w:spacing w:before="60" w:after="60"/>
        <w:jc w:val="both"/>
      </w:pPr>
      <w:r w:rsidRPr="00885434">
        <w:t xml:space="preserve">Walory przyrodnicze terenu, takie jak: </w:t>
      </w:r>
      <w:r w:rsidR="004C12A5" w:rsidRPr="00885434">
        <w:t>gleby wysokich klas</w:t>
      </w:r>
      <w:r w:rsidRPr="00885434">
        <w:t>, rynny polodowcowe stanowiące korytarze ekologiczne, du</w:t>
      </w:r>
      <w:r w:rsidR="004C12A5" w:rsidRPr="00885434">
        <w:t>ż</w:t>
      </w:r>
      <w:r w:rsidRPr="00885434">
        <w:t xml:space="preserve">e kompleksy lasów o funkcji ochronnej </w:t>
      </w:r>
      <w:r w:rsidR="004C12A5" w:rsidRPr="00885434">
        <w:t xml:space="preserve">itp. </w:t>
      </w:r>
      <w:r w:rsidRPr="00885434">
        <w:t>stwarzają ograniczenia przy wyznaczaniu nowych tras komunikacyjnych oraz</w:t>
      </w:r>
      <w:r w:rsidR="004C12A5" w:rsidRPr="00885434">
        <w:t xml:space="preserve"> </w:t>
      </w:r>
      <w:r w:rsidRPr="00885434">
        <w:t>przeprowadzani</w:t>
      </w:r>
      <w:r w:rsidR="004C12A5" w:rsidRPr="00885434">
        <w:t>u</w:t>
      </w:r>
      <w:r w:rsidRPr="00885434">
        <w:t xml:space="preserve"> infrastruktury podziemnej (gazociągów </w:t>
      </w:r>
      <w:r w:rsidR="00382009">
        <w:br/>
      </w:r>
      <w:r w:rsidRPr="00885434">
        <w:t>i ropociągów) i napowietrznej</w:t>
      </w:r>
      <w:r w:rsidR="004C12A5" w:rsidRPr="00885434">
        <w:t xml:space="preserve"> </w:t>
      </w:r>
      <w:r w:rsidRPr="00885434">
        <w:t>takiej jak linie elektroenergetyczne</w:t>
      </w:r>
      <w:r w:rsidR="004C12A5" w:rsidRPr="00885434">
        <w:t>.</w:t>
      </w:r>
    </w:p>
    <w:p w:rsidR="00044FDA" w:rsidRDefault="00EB6276" w:rsidP="00E46E02">
      <w:pPr>
        <w:spacing w:before="60" w:after="60"/>
        <w:jc w:val="both"/>
      </w:pPr>
      <w:r>
        <w:t>Priorytetem dla władz samorządowych jest pozyskiwanie nowych inwestorów, któr</w:t>
      </w:r>
      <w:r w:rsidR="00044FDA">
        <w:t xml:space="preserve">ym oferuje się ulgi podatkowe. </w:t>
      </w:r>
      <w:r w:rsidR="00044FDA" w:rsidRPr="00044FDA">
        <w:t xml:space="preserve">Zostały podjęte uchwały o systemie ulg podatkowych: Uchwała Nr XXVIII/349/08 Rady Miejskiej Gminy Pobiedziska z dnia 20 listopada 2008 roku „Program pomocy de minimis” oraz Uchwała Nr XXXI/368/09 Rady Miejskiej Gminy Pobiedziska z dnia 29 stycznia 2009 roku w sprawie </w:t>
      </w:r>
      <w:r w:rsidR="00044FDA" w:rsidRPr="00044FDA">
        <w:lastRenderedPageBreak/>
        <w:t>programu pomocy regionalnej na wpieranie nowych inwestycji w działalność gospodarczą na terenie Gminy Pobiedziska.</w:t>
      </w:r>
    </w:p>
    <w:p w:rsidR="003D35E2" w:rsidRDefault="00EB6276" w:rsidP="00E46E02">
      <w:pPr>
        <w:spacing w:before="60" w:after="60"/>
        <w:jc w:val="both"/>
      </w:pPr>
      <w:r>
        <w:t xml:space="preserve">Przy drodze krajowej nr 5 i budowanej obecnie S5 położone są najatrakcyjniejsze tereny inwestycyjne w Wielkopolsce. Uhonorowany przez Ministra „Grunt na medal” został częściowo uzbrojony w dodatkową infrastrukturę drogową i kanalizacyjną. Wiodący austriacki producent materiałów budowlanych wybrał to miejsce pod budowę swojej kolejnej fabryki. Na inwestorów </w:t>
      </w:r>
      <w:r w:rsidR="00C56D36">
        <w:br/>
      </w:r>
      <w:r>
        <w:t>w dalszym ciągu czeka prawie 180 ha gruntów przeznaczonych pod budownictwo mieszkaniowe, działalność usługową i aktywizację gospodarczą.</w:t>
      </w:r>
    </w:p>
    <w:p w:rsidR="003D35E2" w:rsidRDefault="00535843" w:rsidP="00EB6276">
      <w:pPr>
        <w:jc w:val="both"/>
      </w:pPr>
      <w:r>
        <w:pict>
          <v:shape id="_x0000_s1034" type="#_x0000_t185" style="width:118.15pt;height:446.8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34;mso-fit-shape-to-text:t" inset="18pt,18pt,,18pt">
              <w:txbxContent>
                <w:p w:rsidR="00291CA0" w:rsidRPr="00E46E02" w:rsidRDefault="00291CA0" w:rsidP="00E46E02">
                  <w:pPr>
                    <w:spacing w:before="60" w:after="60"/>
                    <w:jc w:val="both"/>
                    <w:rPr>
                      <w:b/>
                      <w:i/>
                      <w:iCs/>
                      <w:color w:val="943634" w:themeColor="accent2" w:themeShade="BF"/>
                    </w:rPr>
                  </w:pPr>
                  <w:r w:rsidRPr="00E46E02">
                    <w:rPr>
                      <w:b/>
                      <w:i/>
                      <w:iCs/>
                      <w:color w:val="943634" w:themeColor="accent2" w:themeShade="BF"/>
                    </w:rPr>
                    <w:t>KONKLUZJE STRATEGICZNE</w:t>
                  </w:r>
                </w:p>
                <w:p w:rsidR="00291CA0" w:rsidRPr="00E46E02" w:rsidRDefault="00291CA0" w:rsidP="00E46E02">
                  <w:pPr>
                    <w:spacing w:before="60" w:after="60"/>
                    <w:jc w:val="both"/>
                    <w:rPr>
                      <w:b/>
                      <w:i/>
                      <w:iCs/>
                      <w:color w:val="808080" w:themeColor="background1" w:themeShade="80"/>
                    </w:rPr>
                  </w:pPr>
                  <w:r w:rsidRPr="00E46E02">
                    <w:rPr>
                      <w:b/>
                      <w:i/>
                      <w:iCs/>
                      <w:color w:val="808080" w:themeColor="background1" w:themeShade="80"/>
                    </w:rPr>
                    <w:t>Gmina Pobiedziska posiada korzystne położenie w połowie drogi między Gnieznem a Poznaniem, przy linii kolejowej na tym samym kierunku. Główną funkcją jest rolnictwo, dobrze rozwija się także turystyka, ponieważ Gmina znana jest z licznej ilości jezior i dużych powierzchni leśnych.</w:t>
                  </w:r>
                </w:p>
              </w:txbxContent>
            </v:textbox>
            <w10:wrap type="none" anchorx="margin" anchory="margin"/>
            <w10:anchorlock/>
          </v:shape>
        </w:pict>
      </w:r>
    </w:p>
    <w:p w:rsidR="00BD45FF" w:rsidRPr="00BD45FF" w:rsidRDefault="00BD45FF" w:rsidP="00BD45FF">
      <w:pPr>
        <w:pStyle w:val="Nagwek1"/>
        <w:numPr>
          <w:ilvl w:val="0"/>
          <w:numId w:val="1"/>
        </w:numPr>
        <w:rPr>
          <w:rFonts w:asciiTheme="minorHAnsi" w:hAnsiTheme="minorHAnsi"/>
          <w:color w:val="943634" w:themeColor="accent2" w:themeShade="BF"/>
          <w:sz w:val="28"/>
        </w:rPr>
      </w:pPr>
      <w:bookmarkStart w:id="25" w:name="_Toc321135342"/>
      <w:r w:rsidRPr="00BD45FF">
        <w:rPr>
          <w:rFonts w:asciiTheme="minorHAnsi" w:hAnsiTheme="minorHAnsi"/>
          <w:color w:val="943634" w:themeColor="accent2" w:themeShade="BF"/>
          <w:sz w:val="28"/>
        </w:rPr>
        <w:t>Analiza dokumentów sprawozdawczych</w:t>
      </w:r>
      <w:bookmarkEnd w:id="25"/>
    </w:p>
    <w:p w:rsidR="00BD45FF" w:rsidRPr="00885434" w:rsidRDefault="00BD45FF" w:rsidP="00BD45FF">
      <w:pPr>
        <w:spacing w:after="0"/>
        <w:jc w:val="both"/>
        <w:rPr>
          <w:rFonts w:cs="Tahoma"/>
        </w:rPr>
      </w:pPr>
      <w:r>
        <w:rPr>
          <w:rFonts w:cs="Tahoma"/>
        </w:rPr>
        <w:t xml:space="preserve">Analiza dokumentów sprawozdawczych </w:t>
      </w:r>
      <w:r w:rsidRPr="00E14DC7">
        <w:rPr>
          <w:rFonts w:cs="Tahoma"/>
        </w:rPr>
        <w:t xml:space="preserve">przedstawianych Radzie </w:t>
      </w:r>
      <w:r>
        <w:rPr>
          <w:rFonts w:cs="Tahoma"/>
        </w:rPr>
        <w:t>G</w:t>
      </w:r>
      <w:r w:rsidRPr="00E14DC7">
        <w:rPr>
          <w:rFonts w:cs="Tahoma"/>
        </w:rPr>
        <w:t>miny, w tym m.in. z wykonanych prac inwestycyjnych, z wykonania budżetu</w:t>
      </w:r>
      <w:r>
        <w:rPr>
          <w:rFonts w:cs="Tahoma"/>
        </w:rPr>
        <w:t>.</w:t>
      </w:r>
    </w:p>
    <w:p w:rsidR="00BD45FF" w:rsidRPr="00D54EDA" w:rsidRDefault="00BD45FF" w:rsidP="00BD45FF">
      <w:pPr>
        <w:spacing w:before="60" w:after="0"/>
        <w:jc w:val="both"/>
        <w:rPr>
          <w:rFonts w:cs="Tahoma"/>
          <w:b/>
          <w:i/>
          <w:color w:val="943634" w:themeColor="accent2" w:themeShade="BF"/>
        </w:rPr>
      </w:pPr>
      <w:r w:rsidRPr="00D54EDA">
        <w:rPr>
          <w:rFonts w:cs="Tahoma"/>
          <w:b/>
          <w:i/>
          <w:color w:val="943634" w:themeColor="accent2" w:themeShade="BF"/>
        </w:rPr>
        <w:t>Sprawozdanie z wykonania budżetu Miasta i Gminy Pobiedziska za rok 2010</w:t>
      </w:r>
    </w:p>
    <w:p w:rsidR="00BD45FF" w:rsidRDefault="00BD45FF" w:rsidP="00BD45FF">
      <w:pPr>
        <w:spacing w:before="60" w:after="0"/>
        <w:jc w:val="both"/>
        <w:rPr>
          <w:rFonts w:cs="Tahoma"/>
        </w:rPr>
      </w:pPr>
      <w:r>
        <w:rPr>
          <w:rFonts w:cs="Tahoma"/>
        </w:rPr>
        <w:t xml:space="preserve">Dochody budżetu gminy zaplanowane pierwotnie w kwocie 45,2 mln zł w trakcie roku budżetowego zostały zwiększone o 5,8 mln zł i wyniosły 51 mln zł. Na koniec 2010 r. realizacja dochodów to </w:t>
      </w:r>
      <w:r>
        <w:rPr>
          <w:rFonts w:cs="Tahoma"/>
        </w:rPr>
        <w:br/>
        <w:t xml:space="preserve">49,4 mln zł, co stanowi prawie 97% zakładanego planu. Wydatki budżetu Gminy Pobiedziska zaplanowane pierwotnie w kwocie 58,5 mln zł w trakcie roku budżetowego zostały zwiększone </w:t>
      </w:r>
      <w:r>
        <w:rPr>
          <w:rFonts w:cs="Tahoma"/>
        </w:rPr>
        <w:br/>
        <w:t>o kwotę 2,6 mln zł i wyniosły na koniec 2010 r. 61,1 mln zł. Realizacja wydatków kształtuje się na poziomie 58,1 mln zł, co stanowi 95% założonego planu.</w:t>
      </w:r>
    </w:p>
    <w:p w:rsidR="00BD45FF" w:rsidRDefault="00BD45FF" w:rsidP="00BD45FF">
      <w:pPr>
        <w:spacing w:before="60" w:after="60"/>
        <w:jc w:val="both"/>
        <w:rPr>
          <w:rFonts w:cs="Tahoma"/>
        </w:rPr>
      </w:pPr>
      <w:r>
        <w:rPr>
          <w:rFonts w:cs="Tahoma"/>
        </w:rPr>
        <w:t>Wydatki bieżące sfinansowane zostały z dochodów bieżących – powstała nadwyżka w kwocie 3,9 mln zł. Wydatki majątkowe sfinansowane zostały z dochodów bieżących, dochodów majątkowych oraz zaciągniętych pożyczek i kredytów na realizację zadań inwestycyjnych.</w:t>
      </w:r>
    </w:p>
    <w:p w:rsidR="00BD45FF" w:rsidRPr="00D54EDA" w:rsidRDefault="00BD45FF" w:rsidP="00BD45FF">
      <w:pPr>
        <w:spacing w:before="60" w:after="0"/>
        <w:jc w:val="both"/>
        <w:rPr>
          <w:rFonts w:cs="Tahoma"/>
          <w:b/>
          <w:i/>
          <w:color w:val="943634" w:themeColor="accent2" w:themeShade="BF"/>
        </w:rPr>
      </w:pPr>
      <w:r w:rsidRPr="00D54EDA">
        <w:rPr>
          <w:rFonts w:cs="Tahoma"/>
          <w:b/>
          <w:i/>
          <w:color w:val="943634" w:themeColor="accent2" w:themeShade="BF"/>
        </w:rPr>
        <w:t>Analiza wykonania zadań w ramach celów strategi</w:t>
      </w:r>
      <w:r>
        <w:rPr>
          <w:rFonts w:cs="Tahoma"/>
          <w:b/>
          <w:i/>
          <w:color w:val="943634" w:themeColor="accent2" w:themeShade="BF"/>
        </w:rPr>
        <w:t>cznych i projektów lata 2003-2011</w:t>
      </w:r>
    </w:p>
    <w:p w:rsidR="00BD45FF" w:rsidRPr="006B22E2" w:rsidRDefault="00BD45FF" w:rsidP="00BD45FF">
      <w:pPr>
        <w:autoSpaceDE w:val="0"/>
        <w:autoSpaceDN w:val="0"/>
        <w:adjustRightInd w:val="0"/>
        <w:spacing w:before="60" w:after="0"/>
        <w:jc w:val="both"/>
        <w:rPr>
          <w:b/>
        </w:rPr>
      </w:pPr>
      <w:r>
        <w:t xml:space="preserve">Dokument opracowany </w:t>
      </w:r>
      <w:r w:rsidRPr="006B22E2">
        <w:rPr>
          <w:bCs/>
          <w:iCs/>
        </w:rPr>
        <w:t>na podstawie Strategii Rozwoju Miasta i Gminy Pobiedziska na lata 2003-2012 oraz Kart Realizacyjnych Projektów Strategicznych</w:t>
      </w:r>
      <w:r>
        <w:t>, zawiera analizę wykonania poszczególnych projektów.</w:t>
      </w:r>
      <w:r w:rsidRPr="006B22E2">
        <w:t xml:space="preserve"> </w:t>
      </w:r>
      <w:r>
        <w:t xml:space="preserve">W ramach pierwszego celu zrealizowano 32% zaplanowanych działań, a 57% została zrealizowana częściowo. Nie zrealizowano: budowy </w:t>
      </w:r>
      <w:r w:rsidRPr="006B22E2">
        <w:t>obwodnicy miasta łączącej drogę krajową nr 5 z drogą powiatową do Kostrzyna</w:t>
      </w:r>
      <w:r>
        <w:t>, budowy szkoły w Pobiedziskach, Ośrodka Dziennego Pobytu dla osób starszych i chorych.</w:t>
      </w:r>
      <w:r w:rsidRPr="006B22E2">
        <w:t xml:space="preserve"> </w:t>
      </w:r>
      <w:r>
        <w:t>Zadania zaplanowane w ramach drugiego celu strategicznego zostały całkowicie zrealizowane.</w:t>
      </w:r>
      <w:r w:rsidRPr="0094268B">
        <w:t xml:space="preserve"> </w:t>
      </w:r>
      <w:r>
        <w:t xml:space="preserve">W trzecim celu strategicznym zrealizowano 22% projektów, a 44% zostało zrealizowanych częściowo. Nie zrealizowano: budowy </w:t>
      </w:r>
      <w:r w:rsidRPr="006B22E2">
        <w:t>ścieżek rowerowych na terenie gminy Pobiedziska wzdłuż rynny jeziornej Tuczno-Pobiedziska</w:t>
      </w:r>
      <w:r>
        <w:t>, Telecentrum, Centrum Obsługi Biznesu. Dodatkowo zostały wykonane liczne zadania nie zapisane strategii.</w:t>
      </w:r>
    </w:p>
    <w:p w:rsidR="00BD45FF" w:rsidRPr="006B22E2" w:rsidRDefault="00BD45FF" w:rsidP="00BD45FF">
      <w:pPr>
        <w:autoSpaceDE w:val="0"/>
        <w:autoSpaceDN w:val="0"/>
        <w:adjustRightInd w:val="0"/>
        <w:spacing w:before="60" w:after="0"/>
        <w:jc w:val="both"/>
        <w:rPr>
          <w:b/>
          <w:bCs/>
          <w:i/>
          <w:iCs/>
        </w:rPr>
      </w:pPr>
      <w:r w:rsidRPr="00CD2834">
        <w:t>Analiza wykonania zadań</w:t>
      </w:r>
      <w:r>
        <w:t xml:space="preserve"> w ramach celów strategicznych </w:t>
      </w:r>
      <w:r w:rsidRPr="00CD2834">
        <w:t>i projektów została ujęta w dwóch raportach i obejmowała: I raport- lata 2003-2007, II raport-2008-2011.</w:t>
      </w:r>
    </w:p>
    <w:p w:rsidR="00BD45FF" w:rsidRPr="00885434" w:rsidRDefault="00BD45FF" w:rsidP="00EB6276">
      <w:pPr>
        <w:jc w:val="both"/>
      </w:pPr>
    </w:p>
    <w:p w:rsidR="009A7ABC" w:rsidRPr="00BD45FF" w:rsidRDefault="009A7ABC" w:rsidP="00E84FFC">
      <w:pPr>
        <w:pStyle w:val="Nagwek1"/>
        <w:numPr>
          <w:ilvl w:val="0"/>
          <w:numId w:val="1"/>
        </w:numPr>
        <w:rPr>
          <w:rFonts w:asciiTheme="minorHAnsi" w:hAnsiTheme="minorHAnsi" w:cs="Tahoma"/>
          <w:color w:val="943634" w:themeColor="accent2" w:themeShade="BF"/>
          <w:sz w:val="28"/>
        </w:rPr>
      </w:pPr>
      <w:bookmarkStart w:id="26" w:name="_Toc306028439"/>
      <w:bookmarkStart w:id="27" w:name="_Toc321135343"/>
      <w:r w:rsidRPr="00BD45FF">
        <w:rPr>
          <w:rFonts w:asciiTheme="minorHAnsi" w:hAnsiTheme="minorHAnsi" w:cs="Tahoma"/>
          <w:color w:val="943634" w:themeColor="accent2" w:themeShade="BF"/>
          <w:sz w:val="28"/>
        </w:rPr>
        <w:t>Analiza dokumentów strategicznych</w:t>
      </w:r>
      <w:bookmarkEnd w:id="26"/>
      <w:bookmarkEnd w:id="27"/>
    </w:p>
    <w:p w:rsidR="00237D57" w:rsidRDefault="00237D57" w:rsidP="00E46E02">
      <w:pPr>
        <w:spacing w:before="60" w:after="60"/>
        <w:jc w:val="both"/>
      </w:pPr>
      <w:r w:rsidRPr="00237D57">
        <w:t>W procedurze konstruowania strategii rozwoju miasta – wg R. Brola</w:t>
      </w:r>
      <w:r>
        <w:t xml:space="preserve"> powinna być reprezentowana m.in. zasada </w:t>
      </w:r>
      <w:r w:rsidRPr="00237D57">
        <w:t>zgodności dokumentów planistycznych</w:t>
      </w:r>
      <w:r>
        <w:t xml:space="preserve">. Zasada zgodności wymusza spójność zapisów strategii rozwoju lokalnego z dokumentami planistycznymi sporządzanymi na szczeblu powiatu, regionu, kraju czy też Unii Europejskiej. W szczególności chodzi o zgodność z następującymi dokumentami: strategią rozwoju województwa, wojewódzkim programem ochrony środowiska, regionalnym programem operacyjnym, narodowymi strategicznymi ramami odniesienia, podstawami wsparcia wspólnoty i innymi dokumentami planistycznymi sporządzanymi zgodnie z obowiązującą </w:t>
      </w:r>
      <w:r w:rsidR="00C56D36">
        <w:br/>
      </w:r>
      <w:r>
        <w:t>w polityce regionalnej Unii Europejskiej zasadą programowania. Respektowanie zasady zgodności dokumentów planistycznych jest warunkiem wstępnym uczestnictwa miasta w regionalnych, krajowych i europejskich programach i funduszach</w:t>
      </w:r>
      <w:r>
        <w:rPr>
          <w:rStyle w:val="Odwoanieprzypisudolnego"/>
        </w:rPr>
        <w:footnoteReference w:id="13"/>
      </w:r>
    </w:p>
    <w:p w:rsidR="009852C8" w:rsidRPr="00241F6F" w:rsidRDefault="00AE6AD8" w:rsidP="00241F6F">
      <w:pPr>
        <w:pStyle w:val="Nagwek2"/>
        <w:rPr>
          <w:rFonts w:asciiTheme="minorHAnsi" w:hAnsiTheme="minorHAnsi"/>
          <w:color w:val="943634" w:themeColor="accent2" w:themeShade="BF"/>
        </w:rPr>
      </w:pPr>
      <w:bookmarkStart w:id="28" w:name="_Toc321135344"/>
      <w:r>
        <w:rPr>
          <w:rFonts w:asciiTheme="minorHAnsi" w:hAnsiTheme="minorHAnsi"/>
          <w:color w:val="943634" w:themeColor="accent2" w:themeShade="BF"/>
        </w:rPr>
        <w:t>6</w:t>
      </w:r>
      <w:r w:rsidR="00E37D20" w:rsidRPr="00FB57B5">
        <w:rPr>
          <w:rFonts w:asciiTheme="minorHAnsi" w:hAnsiTheme="minorHAnsi"/>
          <w:color w:val="943634" w:themeColor="accent2" w:themeShade="BF"/>
        </w:rPr>
        <w:t>.1 Lokalne dokumenty strategiczne</w:t>
      </w:r>
      <w:bookmarkEnd w:id="28"/>
    </w:p>
    <w:p w:rsidR="009A7ABC" w:rsidRPr="009852C8" w:rsidRDefault="003A05A0" w:rsidP="003A05A0">
      <w:pPr>
        <w:spacing w:after="0"/>
        <w:jc w:val="both"/>
        <w:rPr>
          <w:b/>
        </w:rPr>
      </w:pPr>
      <w:r>
        <w:rPr>
          <w:b/>
          <w:color w:val="943634" w:themeColor="accent2" w:themeShade="BF"/>
        </w:rPr>
        <w:t>„</w:t>
      </w:r>
      <w:r w:rsidRPr="003A05A0">
        <w:rPr>
          <w:b/>
          <w:color w:val="943634" w:themeColor="accent2" w:themeShade="BF"/>
        </w:rPr>
        <w:t>Program opieki nad zabytkami Gminy Pobiedziska na lata 2011-2014</w:t>
      </w:r>
      <w:r>
        <w:rPr>
          <w:b/>
          <w:color w:val="943634" w:themeColor="accent2" w:themeShade="BF"/>
        </w:rPr>
        <w:t>”</w:t>
      </w:r>
      <w:r w:rsidR="009852C8" w:rsidRPr="009852C8">
        <w:t xml:space="preserve"> (</w:t>
      </w:r>
      <w:r w:rsidR="009852C8">
        <w:t>uchwalony dnia 24 lutego 2011 r.</w:t>
      </w:r>
      <w:r w:rsidR="009852C8" w:rsidRPr="009852C8">
        <w:t>)</w:t>
      </w:r>
    </w:p>
    <w:p w:rsidR="003A05A0" w:rsidRDefault="003A05A0" w:rsidP="00306F0C">
      <w:pPr>
        <w:spacing w:after="0"/>
        <w:jc w:val="both"/>
      </w:pPr>
      <w:r>
        <w:t xml:space="preserve">Główne cele programów opieki nad zabytkami określa art. 87 ust. 2 ustawy z dnia 23 lipca 2003 r. </w:t>
      </w:r>
      <w:r w:rsidR="00C56D36">
        <w:br/>
      </w:r>
      <w:r>
        <w:t>o ochronie zabytków i opiece nad zabytkami. Są one sformułowane wspólnie dla programów wojewódzkich, powiatowych i gminnych, a obejmują w szczególności:</w:t>
      </w:r>
    </w:p>
    <w:p w:rsidR="00E46E02" w:rsidRPr="00E46E02" w:rsidRDefault="003A05A0" w:rsidP="00E84FFC">
      <w:pPr>
        <w:pStyle w:val="Akapitzlist"/>
        <w:numPr>
          <w:ilvl w:val="0"/>
          <w:numId w:val="22"/>
        </w:numPr>
        <w:ind w:left="714" w:hanging="357"/>
        <w:jc w:val="both"/>
        <w:rPr>
          <w:rFonts w:asciiTheme="minorHAnsi" w:hAnsiTheme="minorHAnsi" w:cstheme="minorHAnsi"/>
          <w:sz w:val="22"/>
          <w:szCs w:val="22"/>
        </w:rPr>
      </w:pPr>
      <w:r w:rsidRPr="00E46E02">
        <w:rPr>
          <w:rFonts w:asciiTheme="minorHAnsi" w:hAnsiTheme="minorHAnsi" w:cstheme="minorHAnsi"/>
          <w:sz w:val="22"/>
          <w:szCs w:val="22"/>
        </w:rPr>
        <w:t xml:space="preserve">włączenie problemów ochrony zabytków do systemu zadań strategicznych, wynikających </w:t>
      </w:r>
      <w:r w:rsidR="00C56D36">
        <w:rPr>
          <w:rFonts w:asciiTheme="minorHAnsi" w:hAnsiTheme="minorHAnsi" w:cstheme="minorHAnsi"/>
          <w:sz w:val="22"/>
          <w:szCs w:val="22"/>
        </w:rPr>
        <w:br/>
      </w:r>
      <w:r w:rsidRPr="00E46E02">
        <w:rPr>
          <w:rFonts w:asciiTheme="minorHAnsi" w:hAnsiTheme="minorHAnsi" w:cstheme="minorHAnsi"/>
          <w:sz w:val="22"/>
          <w:szCs w:val="22"/>
        </w:rPr>
        <w:t>z koncepcji przest</w:t>
      </w:r>
      <w:r w:rsidR="00E46E02" w:rsidRPr="00E46E02">
        <w:rPr>
          <w:rFonts w:asciiTheme="minorHAnsi" w:hAnsiTheme="minorHAnsi" w:cstheme="minorHAnsi"/>
          <w:sz w:val="22"/>
          <w:szCs w:val="22"/>
        </w:rPr>
        <w:t>rzennego zagospodarowania kraju,</w:t>
      </w:r>
    </w:p>
    <w:p w:rsidR="00E46E02" w:rsidRPr="00E46E02" w:rsidRDefault="003A05A0" w:rsidP="00E84FFC">
      <w:pPr>
        <w:pStyle w:val="Akapitzlist"/>
        <w:numPr>
          <w:ilvl w:val="0"/>
          <w:numId w:val="22"/>
        </w:numPr>
        <w:ind w:left="714" w:hanging="357"/>
        <w:jc w:val="both"/>
        <w:rPr>
          <w:rFonts w:asciiTheme="minorHAnsi" w:hAnsiTheme="minorHAnsi" w:cstheme="minorHAnsi"/>
          <w:sz w:val="22"/>
          <w:szCs w:val="22"/>
        </w:rPr>
      </w:pPr>
      <w:r w:rsidRPr="00E46E02">
        <w:rPr>
          <w:rFonts w:asciiTheme="minorHAnsi" w:hAnsiTheme="minorHAnsi" w:cstheme="minorHAnsi"/>
          <w:sz w:val="22"/>
          <w:szCs w:val="22"/>
        </w:rPr>
        <w:t>uwzględnianie uwarunkowań ochrony zabytków, w tym krajobrazu kulturowego i dziedzictwa archeologicznego, łącznie z uwarunkowaniami ochrony przyrody i równowagi ekologicznej</w:t>
      </w:r>
      <w:r w:rsidR="00E46E02" w:rsidRPr="00E46E02">
        <w:rPr>
          <w:rFonts w:asciiTheme="minorHAnsi" w:hAnsiTheme="minorHAnsi" w:cstheme="minorHAnsi"/>
          <w:sz w:val="22"/>
          <w:szCs w:val="22"/>
        </w:rPr>
        <w:t>,</w:t>
      </w:r>
    </w:p>
    <w:p w:rsidR="00E46E02" w:rsidRPr="00E46E02" w:rsidRDefault="003A05A0" w:rsidP="00E84FFC">
      <w:pPr>
        <w:pStyle w:val="Akapitzlist"/>
        <w:numPr>
          <w:ilvl w:val="0"/>
          <w:numId w:val="22"/>
        </w:numPr>
        <w:ind w:left="714" w:hanging="357"/>
        <w:jc w:val="both"/>
        <w:rPr>
          <w:rFonts w:asciiTheme="minorHAnsi" w:hAnsiTheme="minorHAnsi" w:cstheme="minorHAnsi"/>
          <w:sz w:val="22"/>
          <w:szCs w:val="22"/>
        </w:rPr>
      </w:pPr>
      <w:r w:rsidRPr="00E46E02">
        <w:rPr>
          <w:rFonts w:asciiTheme="minorHAnsi" w:hAnsiTheme="minorHAnsi" w:cstheme="minorHAnsi"/>
          <w:sz w:val="22"/>
          <w:szCs w:val="22"/>
        </w:rPr>
        <w:t>zahamowanie procesów degradacji zabytków i doprowadzenie do poprawy stanu ich zachowania</w:t>
      </w:r>
      <w:r w:rsidR="00E46E02" w:rsidRPr="00E46E02">
        <w:rPr>
          <w:rFonts w:asciiTheme="minorHAnsi" w:hAnsiTheme="minorHAnsi" w:cstheme="minorHAnsi"/>
          <w:sz w:val="22"/>
          <w:szCs w:val="22"/>
        </w:rPr>
        <w:t>,</w:t>
      </w:r>
    </w:p>
    <w:p w:rsidR="00E46E02" w:rsidRPr="00E46E02" w:rsidRDefault="003A05A0" w:rsidP="00E84FFC">
      <w:pPr>
        <w:pStyle w:val="Akapitzlist"/>
        <w:numPr>
          <w:ilvl w:val="0"/>
          <w:numId w:val="22"/>
        </w:numPr>
        <w:ind w:left="714" w:hanging="357"/>
        <w:jc w:val="both"/>
        <w:rPr>
          <w:rFonts w:asciiTheme="minorHAnsi" w:hAnsiTheme="minorHAnsi" w:cstheme="minorHAnsi"/>
          <w:sz w:val="22"/>
          <w:szCs w:val="22"/>
        </w:rPr>
      </w:pPr>
      <w:r w:rsidRPr="00E46E02">
        <w:rPr>
          <w:rFonts w:asciiTheme="minorHAnsi" w:hAnsiTheme="minorHAnsi" w:cstheme="minorHAnsi"/>
          <w:sz w:val="22"/>
          <w:szCs w:val="22"/>
        </w:rPr>
        <w:t>wyeksponowanie poszczególnych zabytków oraz walorów krajobrazu kulturowego</w:t>
      </w:r>
      <w:r w:rsidR="00E46E02" w:rsidRPr="00E46E02">
        <w:rPr>
          <w:rFonts w:asciiTheme="minorHAnsi" w:hAnsiTheme="minorHAnsi" w:cstheme="minorHAnsi"/>
          <w:sz w:val="22"/>
          <w:szCs w:val="22"/>
        </w:rPr>
        <w:t>,</w:t>
      </w:r>
    </w:p>
    <w:p w:rsidR="00E46E02" w:rsidRPr="00E46E02" w:rsidRDefault="003A05A0" w:rsidP="00E84FFC">
      <w:pPr>
        <w:pStyle w:val="Akapitzlist"/>
        <w:numPr>
          <w:ilvl w:val="0"/>
          <w:numId w:val="22"/>
        </w:numPr>
        <w:ind w:left="714" w:hanging="357"/>
        <w:jc w:val="both"/>
        <w:rPr>
          <w:rFonts w:asciiTheme="minorHAnsi" w:hAnsiTheme="minorHAnsi" w:cstheme="minorHAnsi"/>
          <w:sz w:val="22"/>
          <w:szCs w:val="22"/>
        </w:rPr>
      </w:pPr>
      <w:r w:rsidRPr="00E46E02">
        <w:rPr>
          <w:rFonts w:asciiTheme="minorHAnsi" w:hAnsiTheme="minorHAnsi" w:cstheme="minorHAnsi"/>
          <w:sz w:val="22"/>
          <w:szCs w:val="22"/>
        </w:rPr>
        <w:t>podejmowanie działań zwiększających atrakcyjność zabytków dla potrzeb społecznych, turystycznych i edukacyjnych oraz wspieranie inicjatyw sprzyjających wzrostowi środków finansowych na opiekę nad zabytkami</w:t>
      </w:r>
      <w:r w:rsidR="00E46E02" w:rsidRPr="00E46E02">
        <w:rPr>
          <w:rFonts w:asciiTheme="minorHAnsi" w:hAnsiTheme="minorHAnsi" w:cstheme="minorHAnsi"/>
          <w:sz w:val="22"/>
          <w:szCs w:val="22"/>
        </w:rPr>
        <w:t>,</w:t>
      </w:r>
    </w:p>
    <w:p w:rsidR="00E46E02" w:rsidRPr="00E46E02" w:rsidRDefault="003A05A0" w:rsidP="00E84FFC">
      <w:pPr>
        <w:pStyle w:val="Akapitzlist"/>
        <w:numPr>
          <w:ilvl w:val="0"/>
          <w:numId w:val="22"/>
        </w:numPr>
        <w:ind w:left="714" w:hanging="357"/>
        <w:jc w:val="both"/>
        <w:rPr>
          <w:rFonts w:asciiTheme="minorHAnsi" w:hAnsiTheme="minorHAnsi" w:cstheme="minorHAnsi"/>
          <w:sz w:val="22"/>
          <w:szCs w:val="22"/>
        </w:rPr>
      </w:pPr>
      <w:r w:rsidRPr="00E46E02">
        <w:rPr>
          <w:rFonts w:asciiTheme="minorHAnsi" w:hAnsiTheme="minorHAnsi" w:cstheme="minorHAnsi"/>
          <w:sz w:val="22"/>
          <w:szCs w:val="22"/>
        </w:rPr>
        <w:t>określenie warunków współpracy z właścicielami zabytków, eliminujących sytuacje konfliktowe związane z wykorzystaniem tych zabytków</w:t>
      </w:r>
      <w:r w:rsidR="00E46E02" w:rsidRPr="00E46E02">
        <w:rPr>
          <w:rFonts w:asciiTheme="minorHAnsi" w:hAnsiTheme="minorHAnsi" w:cstheme="minorHAnsi"/>
          <w:sz w:val="22"/>
          <w:szCs w:val="22"/>
        </w:rPr>
        <w:t>,</w:t>
      </w:r>
    </w:p>
    <w:p w:rsidR="003A05A0" w:rsidRPr="00E46E02" w:rsidRDefault="003A05A0" w:rsidP="00E84FFC">
      <w:pPr>
        <w:pStyle w:val="Akapitzlist"/>
        <w:numPr>
          <w:ilvl w:val="0"/>
          <w:numId w:val="22"/>
        </w:numPr>
        <w:ind w:left="714" w:hanging="357"/>
        <w:jc w:val="both"/>
        <w:rPr>
          <w:rFonts w:asciiTheme="minorHAnsi" w:hAnsiTheme="minorHAnsi" w:cstheme="minorHAnsi"/>
          <w:sz w:val="22"/>
          <w:szCs w:val="22"/>
        </w:rPr>
      </w:pPr>
      <w:r w:rsidRPr="00E46E02">
        <w:rPr>
          <w:rFonts w:asciiTheme="minorHAnsi" w:hAnsiTheme="minorHAnsi" w:cstheme="minorHAnsi"/>
          <w:sz w:val="22"/>
          <w:szCs w:val="22"/>
        </w:rPr>
        <w:t>podejmowanie przedsięwzięć umożliwiających tworzenie miejsc pracy związanych z opieką nad zabytkami.</w:t>
      </w:r>
    </w:p>
    <w:p w:rsidR="003A05A0" w:rsidRDefault="0056614D" w:rsidP="003A05A0">
      <w:pPr>
        <w:spacing w:after="0"/>
        <w:jc w:val="both"/>
      </w:pPr>
      <w:r>
        <w:t>Strategia Rozwoju Miasta i Gminy jest jednym z instrumentów koordynacji Gminnego Programu Opieki nad Zabytkami.</w:t>
      </w:r>
    </w:p>
    <w:p w:rsidR="00E5202A" w:rsidRPr="0056614D" w:rsidRDefault="00E5202A" w:rsidP="00306F0C">
      <w:pPr>
        <w:spacing w:after="0" w:line="240" w:lineRule="auto"/>
        <w:jc w:val="both"/>
      </w:pPr>
      <w:r w:rsidRPr="00E5202A">
        <w:rPr>
          <w:b/>
          <w:color w:val="943634" w:themeColor="accent2" w:themeShade="BF"/>
        </w:rPr>
        <w:t>„Studium uwarunkowań i kierunków zagospodarowania przestrzennego Miasta i Gminy Pobiedziska</w:t>
      </w:r>
      <w:r w:rsidRPr="00E8784B">
        <w:rPr>
          <w:b/>
          <w:color w:val="943634" w:themeColor="accent2" w:themeShade="BF"/>
        </w:rPr>
        <w:t>” z 2011 r.</w:t>
      </w:r>
      <w:r w:rsidR="0056614D">
        <w:rPr>
          <w:b/>
          <w:color w:val="943634" w:themeColor="accent2" w:themeShade="BF"/>
        </w:rPr>
        <w:t xml:space="preserve"> </w:t>
      </w:r>
      <w:r w:rsidR="0056614D">
        <w:t xml:space="preserve">(uchwalone </w:t>
      </w:r>
      <w:r w:rsidR="0056614D" w:rsidRPr="0056614D">
        <w:t>24.02.2011 r</w:t>
      </w:r>
      <w:r w:rsidR="007601E5">
        <w:t>.</w:t>
      </w:r>
      <w:r w:rsidR="0056614D">
        <w:t>)</w:t>
      </w:r>
    </w:p>
    <w:p w:rsidR="0073430E" w:rsidRDefault="0073430E" w:rsidP="00306F0C">
      <w:pPr>
        <w:spacing w:before="60" w:after="0"/>
        <w:jc w:val="both"/>
      </w:pPr>
      <w:r>
        <w:t xml:space="preserve">W dokumencie zaproponowano następujące kierunki zmian w strukturze przestrzennej gminy oraz </w:t>
      </w:r>
      <w:r w:rsidR="00C56D36">
        <w:br/>
      </w:r>
      <w:r>
        <w:t>w przeznaczeniu terenów:</w:t>
      </w:r>
    </w:p>
    <w:p w:rsidR="00E46E02" w:rsidRPr="005F2A05" w:rsidRDefault="0073430E" w:rsidP="00E84FFC">
      <w:pPr>
        <w:pStyle w:val="Akapitzlist"/>
        <w:numPr>
          <w:ilvl w:val="0"/>
          <w:numId w:val="23"/>
        </w:numPr>
        <w:jc w:val="both"/>
        <w:rPr>
          <w:rFonts w:asciiTheme="minorHAnsi" w:hAnsiTheme="minorHAnsi" w:cstheme="minorHAnsi"/>
          <w:sz w:val="22"/>
          <w:szCs w:val="22"/>
        </w:rPr>
      </w:pPr>
      <w:r w:rsidRPr="005F2A05">
        <w:rPr>
          <w:rFonts w:asciiTheme="minorHAnsi" w:hAnsiTheme="minorHAnsi" w:cstheme="minorHAnsi"/>
          <w:sz w:val="22"/>
          <w:szCs w:val="22"/>
        </w:rPr>
        <w:t>dalszy rozwój przestrzenny i funkcjonalny miasta, jako głównego ośrodka mieszkaniowego</w:t>
      </w:r>
      <w:r w:rsidR="00CA48F9" w:rsidRPr="005F2A05">
        <w:rPr>
          <w:rFonts w:asciiTheme="minorHAnsi" w:hAnsiTheme="minorHAnsi" w:cstheme="minorHAnsi"/>
          <w:sz w:val="22"/>
          <w:szCs w:val="22"/>
        </w:rPr>
        <w:t xml:space="preserve"> </w:t>
      </w:r>
      <w:r w:rsidR="00C56D36">
        <w:rPr>
          <w:rFonts w:asciiTheme="minorHAnsi" w:hAnsiTheme="minorHAnsi" w:cstheme="minorHAnsi"/>
          <w:sz w:val="22"/>
          <w:szCs w:val="22"/>
        </w:rPr>
        <w:br/>
      </w:r>
      <w:r w:rsidRPr="005F2A05">
        <w:rPr>
          <w:rFonts w:asciiTheme="minorHAnsi" w:hAnsiTheme="minorHAnsi" w:cstheme="minorHAnsi"/>
          <w:sz w:val="22"/>
          <w:szCs w:val="22"/>
        </w:rPr>
        <w:t>i usługowego gminy, a także rozwój (głównie pod względem jakościowym) miejscowości Biskupice</w:t>
      </w:r>
      <w:r w:rsidR="00CA48F9" w:rsidRPr="005F2A05">
        <w:rPr>
          <w:rFonts w:asciiTheme="minorHAnsi" w:hAnsiTheme="minorHAnsi" w:cstheme="minorHAnsi"/>
          <w:sz w:val="22"/>
          <w:szCs w:val="22"/>
        </w:rPr>
        <w:t xml:space="preserve"> </w:t>
      </w:r>
      <w:r w:rsidRPr="005F2A05">
        <w:rPr>
          <w:rFonts w:asciiTheme="minorHAnsi" w:hAnsiTheme="minorHAnsi" w:cstheme="minorHAnsi"/>
          <w:sz w:val="22"/>
          <w:szCs w:val="22"/>
        </w:rPr>
        <w:t>i Jerzykowo, tworzących z miastem główne pasmo rozwojowe gminy</w:t>
      </w:r>
      <w:r w:rsidR="00E46E02" w:rsidRPr="005F2A05">
        <w:rPr>
          <w:rFonts w:asciiTheme="minorHAnsi" w:hAnsiTheme="minorHAnsi" w:cstheme="minorHAnsi"/>
          <w:sz w:val="22"/>
          <w:szCs w:val="22"/>
        </w:rPr>
        <w:t>,</w:t>
      </w:r>
    </w:p>
    <w:p w:rsidR="00E46E02" w:rsidRPr="005F2A05" w:rsidRDefault="0073430E" w:rsidP="00E84FFC">
      <w:pPr>
        <w:pStyle w:val="Akapitzlist"/>
        <w:numPr>
          <w:ilvl w:val="0"/>
          <w:numId w:val="23"/>
        </w:numPr>
        <w:spacing w:before="60" w:after="60"/>
        <w:jc w:val="both"/>
        <w:rPr>
          <w:rFonts w:asciiTheme="minorHAnsi" w:hAnsiTheme="minorHAnsi" w:cstheme="minorHAnsi"/>
          <w:sz w:val="22"/>
          <w:szCs w:val="22"/>
        </w:rPr>
      </w:pPr>
      <w:r w:rsidRPr="005F2A05">
        <w:rPr>
          <w:rFonts w:asciiTheme="minorHAnsi" w:hAnsiTheme="minorHAnsi" w:cstheme="minorHAnsi"/>
          <w:sz w:val="22"/>
          <w:szCs w:val="22"/>
        </w:rPr>
        <w:t>wielofunkcyjny rozwój wsi, ze szczególnym uwzględnieniem zmian jakościowych i możliwości</w:t>
      </w:r>
      <w:r w:rsidR="00CA48F9" w:rsidRPr="005F2A05">
        <w:rPr>
          <w:rFonts w:asciiTheme="minorHAnsi" w:hAnsiTheme="minorHAnsi" w:cstheme="minorHAnsi"/>
          <w:sz w:val="22"/>
          <w:szCs w:val="22"/>
        </w:rPr>
        <w:t xml:space="preserve"> </w:t>
      </w:r>
      <w:r w:rsidRPr="005F2A05">
        <w:rPr>
          <w:rFonts w:asciiTheme="minorHAnsi" w:hAnsiTheme="minorHAnsi" w:cstheme="minorHAnsi"/>
          <w:sz w:val="22"/>
          <w:szCs w:val="22"/>
        </w:rPr>
        <w:t>wprowadzenia funkcji związanych z rekreacją i turystyką</w:t>
      </w:r>
      <w:r w:rsidR="00E46E02" w:rsidRPr="005F2A05">
        <w:rPr>
          <w:rFonts w:asciiTheme="minorHAnsi" w:hAnsiTheme="minorHAnsi" w:cstheme="minorHAnsi"/>
          <w:sz w:val="22"/>
          <w:szCs w:val="22"/>
        </w:rPr>
        <w:t>,</w:t>
      </w:r>
    </w:p>
    <w:p w:rsidR="00E46E02" w:rsidRPr="005F2A05" w:rsidRDefault="0073430E" w:rsidP="00E84FFC">
      <w:pPr>
        <w:pStyle w:val="Akapitzlist"/>
        <w:numPr>
          <w:ilvl w:val="0"/>
          <w:numId w:val="23"/>
        </w:numPr>
        <w:spacing w:before="60" w:after="60"/>
        <w:jc w:val="both"/>
        <w:rPr>
          <w:rFonts w:asciiTheme="minorHAnsi" w:hAnsiTheme="minorHAnsi" w:cstheme="minorHAnsi"/>
          <w:sz w:val="22"/>
          <w:szCs w:val="22"/>
        </w:rPr>
      </w:pPr>
      <w:r w:rsidRPr="005F2A05">
        <w:rPr>
          <w:rFonts w:asciiTheme="minorHAnsi" w:hAnsiTheme="minorHAnsi" w:cstheme="minorHAnsi"/>
          <w:sz w:val="22"/>
          <w:szCs w:val="22"/>
        </w:rPr>
        <w:lastRenderedPageBreak/>
        <w:t>właściwe wykorzystanie rolniczej przestrzeni produkcyjnej z wyłączeniem możliwości</w:t>
      </w:r>
      <w:r w:rsidR="00CA48F9" w:rsidRPr="005F2A05">
        <w:rPr>
          <w:rFonts w:asciiTheme="minorHAnsi" w:hAnsiTheme="minorHAnsi" w:cstheme="minorHAnsi"/>
          <w:sz w:val="22"/>
          <w:szCs w:val="22"/>
        </w:rPr>
        <w:t xml:space="preserve"> </w:t>
      </w:r>
      <w:r w:rsidRPr="005F2A05">
        <w:rPr>
          <w:rFonts w:asciiTheme="minorHAnsi" w:hAnsiTheme="minorHAnsi" w:cstheme="minorHAnsi"/>
          <w:sz w:val="22"/>
          <w:szCs w:val="22"/>
        </w:rPr>
        <w:t>lokalizowania zabudowy mieszkaniowej,</w:t>
      </w:r>
    </w:p>
    <w:p w:rsidR="00E46E02" w:rsidRPr="005F2A05" w:rsidRDefault="0073430E" w:rsidP="00E84FFC">
      <w:pPr>
        <w:pStyle w:val="Akapitzlist"/>
        <w:numPr>
          <w:ilvl w:val="0"/>
          <w:numId w:val="23"/>
        </w:numPr>
        <w:spacing w:before="60" w:after="60"/>
        <w:jc w:val="both"/>
        <w:rPr>
          <w:rFonts w:asciiTheme="minorHAnsi" w:hAnsiTheme="minorHAnsi" w:cstheme="minorHAnsi"/>
          <w:sz w:val="22"/>
          <w:szCs w:val="22"/>
        </w:rPr>
      </w:pPr>
      <w:r w:rsidRPr="005F2A05">
        <w:rPr>
          <w:rFonts w:asciiTheme="minorHAnsi" w:hAnsiTheme="minorHAnsi" w:cstheme="minorHAnsi"/>
          <w:sz w:val="22"/>
          <w:szCs w:val="22"/>
        </w:rPr>
        <w:t>powiększanie w miarę możliwości zasięgu terenów zieleni poprzez zalesienia, zadrzewienia</w:t>
      </w:r>
      <w:r w:rsidR="00CA48F9" w:rsidRPr="005F2A05">
        <w:rPr>
          <w:rFonts w:asciiTheme="minorHAnsi" w:hAnsiTheme="minorHAnsi" w:cstheme="minorHAnsi"/>
          <w:sz w:val="22"/>
          <w:szCs w:val="22"/>
        </w:rPr>
        <w:t xml:space="preserve"> </w:t>
      </w:r>
      <w:r w:rsidR="00C56D36">
        <w:rPr>
          <w:rFonts w:asciiTheme="minorHAnsi" w:hAnsiTheme="minorHAnsi" w:cstheme="minorHAnsi"/>
          <w:sz w:val="22"/>
          <w:szCs w:val="22"/>
        </w:rPr>
        <w:br/>
      </w:r>
      <w:r w:rsidRPr="005F2A05">
        <w:rPr>
          <w:rFonts w:asciiTheme="minorHAnsi" w:hAnsiTheme="minorHAnsi" w:cstheme="minorHAnsi"/>
          <w:sz w:val="22"/>
          <w:szCs w:val="22"/>
        </w:rPr>
        <w:t>i zakrzewienia śródpolne, przywodne oraz przydrożne, wiążące się we wspólny system</w:t>
      </w:r>
      <w:r w:rsidR="00CA48F9" w:rsidRPr="005F2A05">
        <w:rPr>
          <w:rFonts w:asciiTheme="minorHAnsi" w:hAnsiTheme="minorHAnsi" w:cstheme="minorHAnsi"/>
          <w:sz w:val="22"/>
          <w:szCs w:val="22"/>
        </w:rPr>
        <w:t xml:space="preserve"> </w:t>
      </w:r>
      <w:r w:rsidRPr="005F2A05">
        <w:rPr>
          <w:rFonts w:asciiTheme="minorHAnsi" w:hAnsiTheme="minorHAnsi" w:cstheme="minorHAnsi"/>
          <w:sz w:val="22"/>
          <w:szCs w:val="22"/>
        </w:rPr>
        <w:t>przestrzenny,</w:t>
      </w:r>
    </w:p>
    <w:p w:rsidR="0073430E" w:rsidRPr="005F2A05" w:rsidRDefault="0073430E" w:rsidP="00E84FFC">
      <w:pPr>
        <w:pStyle w:val="Akapitzlist"/>
        <w:numPr>
          <w:ilvl w:val="0"/>
          <w:numId w:val="23"/>
        </w:numPr>
        <w:spacing w:before="60" w:after="60"/>
        <w:jc w:val="both"/>
        <w:rPr>
          <w:rFonts w:asciiTheme="minorHAnsi" w:hAnsiTheme="minorHAnsi" w:cstheme="minorHAnsi"/>
          <w:sz w:val="22"/>
          <w:szCs w:val="22"/>
        </w:rPr>
      </w:pPr>
      <w:r w:rsidRPr="005F2A05">
        <w:rPr>
          <w:rFonts w:asciiTheme="minorHAnsi" w:hAnsiTheme="minorHAnsi" w:cstheme="minorHAnsi"/>
          <w:sz w:val="22"/>
          <w:szCs w:val="22"/>
        </w:rPr>
        <w:t>rozwój terenów inwestycyjnych.</w:t>
      </w:r>
    </w:p>
    <w:p w:rsidR="0056614D" w:rsidRPr="0056614D" w:rsidRDefault="0056614D" w:rsidP="007601E5">
      <w:pPr>
        <w:spacing w:after="0"/>
        <w:jc w:val="both"/>
      </w:pPr>
      <w:r w:rsidRPr="0056614D">
        <w:t>W strukturze przestrzennej gminy wyodrębniono 3 strefy, określające przyjęte kierunki</w:t>
      </w:r>
      <w:r>
        <w:t xml:space="preserve"> </w:t>
      </w:r>
      <w:r w:rsidRPr="0056614D">
        <w:t>rozwoju, a jednocześnie przeznaczenie terenu. Są to:</w:t>
      </w:r>
    </w:p>
    <w:p w:rsidR="0056614D" w:rsidRPr="007601E5" w:rsidRDefault="0056614D" w:rsidP="007601E5">
      <w:pPr>
        <w:pStyle w:val="Akapitzlist"/>
        <w:numPr>
          <w:ilvl w:val="0"/>
          <w:numId w:val="44"/>
        </w:numPr>
        <w:jc w:val="both"/>
        <w:rPr>
          <w:rFonts w:asciiTheme="minorHAnsi" w:hAnsiTheme="minorHAnsi"/>
          <w:sz w:val="22"/>
          <w:szCs w:val="22"/>
        </w:rPr>
      </w:pPr>
      <w:r w:rsidRPr="007601E5">
        <w:rPr>
          <w:rFonts w:asciiTheme="minorHAnsi" w:hAnsiTheme="minorHAnsi"/>
          <w:sz w:val="22"/>
          <w:szCs w:val="22"/>
        </w:rPr>
        <w:t>I – strefa zurbanizowana z terenami zabudowy mieszkaniowej (jednorodzinnej, wielorodzinnej</w:t>
      </w:r>
      <w:r w:rsidR="007601E5" w:rsidRPr="007601E5">
        <w:rPr>
          <w:rFonts w:asciiTheme="minorHAnsi" w:hAnsiTheme="minorHAnsi"/>
          <w:sz w:val="22"/>
          <w:szCs w:val="22"/>
        </w:rPr>
        <w:t xml:space="preserve"> </w:t>
      </w:r>
      <w:r w:rsidRPr="007601E5">
        <w:rPr>
          <w:rFonts w:asciiTheme="minorHAnsi" w:hAnsiTheme="minorHAnsi"/>
          <w:sz w:val="22"/>
          <w:szCs w:val="22"/>
        </w:rPr>
        <w:t>i siedliskowej), letniskowej, usługowej, techniczno – produkcyjnej,</w:t>
      </w:r>
      <w:r w:rsidR="007601E5" w:rsidRPr="007601E5">
        <w:rPr>
          <w:rFonts w:asciiTheme="minorHAnsi" w:hAnsiTheme="minorHAnsi"/>
          <w:sz w:val="22"/>
          <w:szCs w:val="22"/>
        </w:rPr>
        <w:t xml:space="preserve"> </w:t>
      </w:r>
      <w:r w:rsidRPr="007601E5">
        <w:rPr>
          <w:rFonts w:asciiTheme="minorHAnsi" w:hAnsiTheme="minorHAnsi"/>
          <w:sz w:val="22"/>
          <w:szCs w:val="22"/>
        </w:rPr>
        <w:t>terenami zieleni oraz terenami komunikacji i infrastruktury</w:t>
      </w:r>
      <w:r w:rsidR="007601E5" w:rsidRPr="007601E5">
        <w:rPr>
          <w:rFonts w:asciiTheme="minorHAnsi" w:hAnsiTheme="minorHAnsi"/>
          <w:sz w:val="22"/>
          <w:szCs w:val="22"/>
        </w:rPr>
        <w:t xml:space="preserve"> </w:t>
      </w:r>
      <w:r w:rsidRPr="007601E5">
        <w:rPr>
          <w:rFonts w:asciiTheme="minorHAnsi" w:hAnsiTheme="minorHAnsi"/>
          <w:sz w:val="22"/>
          <w:szCs w:val="22"/>
        </w:rPr>
        <w:t>technicznej, przy czym:</w:t>
      </w:r>
    </w:p>
    <w:p w:rsidR="0056614D" w:rsidRPr="007601E5" w:rsidRDefault="0056614D" w:rsidP="007601E5">
      <w:pPr>
        <w:spacing w:after="0" w:line="240" w:lineRule="auto"/>
        <w:ind w:left="851"/>
        <w:jc w:val="both"/>
      </w:pPr>
      <w:r w:rsidRPr="007601E5">
        <w:t>- podstrefa I a – obejmuje główne pasmo rozwojowe gminy, czyli miasto Pobiedziska</w:t>
      </w:r>
      <w:r w:rsidR="007601E5" w:rsidRPr="007601E5">
        <w:t xml:space="preserve"> </w:t>
      </w:r>
      <w:r w:rsidRPr="007601E5">
        <w:t>oraz miejscowości Biskupice i Jerzykowo;</w:t>
      </w:r>
    </w:p>
    <w:p w:rsidR="007601E5" w:rsidRPr="007601E5" w:rsidRDefault="007601E5" w:rsidP="007601E5">
      <w:pPr>
        <w:pStyle w:val="Akapitzlist"/>
        <w:numPr>
          <w:ilvl w:val="0"/>
          <w:numId w:val="44"/>
        </w:numPr>
        <w:jc w:val="both"/>
        <w:rPr>
          <w:rFonts w:asciiTheme="minorHAnsi" w:hAnsiTheme="minorHAnsi"/>
          <w:sz w:val="22"/>
          <w:szCs w:val="22"/>
        </w:rPr>
      </w:pPr>
      <w:r w:rsidRPr="007601E5">
        <w:rPr>
          <w:rFonts w:asciiTheme="minorHAnsi" w:hAnsiTheme="minorHAnsi"/>
          <w:bCs/>
          <w:sz w:val="22"/>
          <w:szCs w:val="22"/>
        </w:rPr>
        <w:t>II – strefa rolno – przyrodnicza</w:t>
      </w:r>
      <w:r w:rsidRPr="007601E5">
        <w:rPr>
          <w:rFonts w:asciiTheme="minorHAnsi" w:hAnsiTheme="minorHAnsi"/>
          <w:b/>
          <w:bCs/>
          <w:sz w:val="22"/>
          <w:szCs w:val="22"/>
        </w:rPr>
        <w:t xml:space="preserve"> </w:t>
      </w:r>
      <w:r w:rsidRPr="007601E5">
        <w:rPr>
          <w:rFonts w:asciiTheme="minorHAnsi" w:hAnsiTheme="minorHAnsi"/>
          <w:sz w:val="22"/>
          <w:szCs w:val="22"/>
        </w:rPr>
        <w:t>z terenami użytkowanymi rolniczo, terenami komunikacji i infrastruktury technicznej, a także wyznaczonymi obszarami ciągów ekologicznych;</w:t>
      </w:r>
    </w:p>
    <w:p w:rsidR="007601E5" w:rsidRPr="007601E5" w:rsidRDefault="007601E5" w:rsidP="007601E5">
      <w:pPr>
        <w:pStyle w:val="Akapitzlist"/>
        <w:numPr>
          <w:ilvl w:val="0"/>
          <w:numId w:val="44"/>
        </w:numPr>
        <w:jc w:val="both"/>
        <w:rPr>
          <w:rFonts w:asciiTheme="minorHAnsi" w:hAnsiTheme="minorHAnsi"/>
          <w:sz w:val="22"/>
          <w:szCs w:val="22"/>
        </w:rPr>
      </w:pPr>
      <w:r w:rsidRPr="007601E5">
        <w:rPr>
          <w:rFonts w:asciiTheme="minorHAnsi" w:hAnsiTheme="minorHAnsi"/>
          <w:bCs/>
          <w:sz w:val="22"/>
          <w:szCs w:val="22"/>
        </w:rPr>
        <w:t>III – strefa przyrodnicza</w:t>
      </w:r>
      <w:r w:rsidRPr="007601E5">
        <w:rPr>
          <w:rFonts w:asciiTheme="minorHAnsi" w:hAnsiTheme="minorHAnsi"/>
          <w:b/>
          <w:bCs/>
          <w:sz w:val="22"/>
          <w:szCs w:val="22"/>
        </w:rPr>
        <w:t xml:space="preserve"> </w:t>
      </w:r>
      <w:r w:rsidRPr="007601E5">
        <w:rPr>
          <w:rFonts w:asciiTheme="minorHAnsi" w:hAnsiTheme="minorHAnsi"/>
          <w:sz w:val="22"/>
          <w:szCs w:val="22"/>
        </w:rPr>
        <w:t>z terenami zieleni, w tym lasów, łąk, pastwisk, wód i terenów podmokłych, terenami komunikacji i infrastruktury technicznej.</w:t>
      </w:r>
    </w:p>
    <w:p w:rsidR="00467126" w:rsidRPr="007601E5" w:rsidRDefault="00C008D1" w:rsidP="00E8784B">
      <w:pPr>
        <w:autoSpaceDE w:val="0"/>
        <w:autoSpaceDN w:val="0"/>
        <w:adjustRightInd w:val="0"/>
        <w:spacing w:before="240" w:after="0" w:line="240" w:lineRule="auto"/>
        <w:rPr>
          <w:rFonts w:cs="Helvetica"/>
          <w:b/>
          <w:szCs w:val="20"/>
        </w:rPr>
      </w:pPr>
      <w:r>
        <w:rPr>
          <w:rFonts w:cs="Helvetica"/>
          <w:b/>
          <w:color w:val="943634" w:themeColor="accent2" w:themeShade="BF"/>
          <w:szCs w:val="20"/>
        </w:rPr>
        <w:t>„</w:t>
      </w:r>
      <w:r w:rsidR="00467126" w:rsidRPr="00C008D1">
        <w:rPr>
          <w:rFonts w:cs="Helvetica"/>
          <w:b/>
          <w:color w:val="943634" w:themeColor="accent2" w:themeShade="BF"/>
          <w:szCs w:val="20"/>
        </w:rPr>
        <w:t xml:space="preserve">Plan gospodarki odpadami dla </w:t>
      </w:r>
      <w:r w:rsidR="005A02B3" w:rsidRPr="00C008D1">
        <w:rPr>
          <w:rFonts w:cs="Helvetica"/>
          <w:b/>
          <w:color w:val="943634" w:themeColor="accent2" w:themeShade="BF"/>
          <w:szCs w:val="20"/>
        </w:rPr>
        <w:t>M</w:t>
      </w:r>
      <w:r w:rsidR="00467126" w:rsidRPr="00C008D1">
        <w:rPr>
          <w:rFonts w:cs="Helvetica"/>
          <w:b/>
          <w:color w:val="943634" w:themeColor="accent2" w:themeShade="BF"/>
          <w:szCs w:val="20"/>
        </w:rPr>
        <w:t xml:space="preserve">iasta i </w:t>
      </w:r>
      <w:r w:rsidR="005A02B3" w:rsidRPr="00C008D1">
        <w:rPr>
          <w:rFonts w:cs="Helvetica"/>
          <w:b/>
          <w:color w:val="943634" w:themeColor="accent2" w:themeShade="BF"/>
          <w:szCs w:val="20"/>
        </w:rPr>
        <w:t>Gminy Pobiedziska</w:t>
      </w:r>
      <w:r>
        <w:rPr>
          <w:rFonts w:cs="Helvetica"/>
          <w:b/>
          <w:color w:val="943634" w:themeColor="accent2" w:themeShade="BF"/>
          <w:szCs w:val="20"/>
        </w:rPr>
        <w:t>”</w:t>
      </w:r>
      <w:r w:rsidR="005A02B3" w:rsidRPr="00C008D1">
        <w:rPr>
          <w:rFonts w:cs="Helvetica"/>
          <w:b/>
          <w:color w:val="943634" w:themeColor="accent2" w:themeShade="BF"/>
          <w:szCs w:val="20"/>
        </w:rPr>
        <w:t xml:space="preserve"> </w:t>
      </w:r>
      <w:r w:rsidR="007601E5" w:rsidRPr="007601E5">
        <w:rPr>
          <w:rFonts w:cs="Helvetica"/>
          <w:szCs w:val="20"/>
        </w:rPr>
        <w:t>(uchwalony dnia 26 stycznia 2006 r.)</w:t>
      </w:r>
    </w:p>
    <w:p w:rsidR="00C008D1" w:rsidRPr="00C008D1" w:rsidRDefault="00FD2033" w:rsidP="00557A69">
      <w:pPr>
        <w:jc w:val="both"/>
      </w:pPr>
      <w:r w:rsidRPr="00FD2033">
        <w:t>Plan gospodarki odpadami jest integralną częścią Programu ochrony środowiska</w:t>
      </w:r>
      <w:r w:rsidR="00557A69">
        <w:t xml:space="preserve">. Dokument </w:t>
      </w:r>
      <w:r w:rsidR="00557A69" w:rsidRPr="00557A69">
        <w:t>uwzględni</w:t>
      </w:r>
      <w:r w:rsidR="00557A69">
        <w:t>a</w:t>
      </w:r>
      <w:r w:rsidR="00557A69" w:rsidRPr="00557A69">
        <w:t xml:space="preserve"> zmiany, które będą</w:t>
      </w:r>
      <w:r w:rsidR="00557A69">
        <w:t xml:space="preserve"> </w:t>
      </w:r>
      <w:r w:rsidR="00557A69" w:rsidRPr="00557A69">
        <w:t>następować w kolejnych latach dotycząc</w:t>
      </w:r>
      <w:r w:rsidR="00557A69">
        <w:t>e</w:t>
      </w:r>
      <w:r w:rsidR="00557A69" w:rsidRPr="00557A69">
        <w:t xml:space="preserve"> ilości i składu odpadów powstających na danym terenie.</w:t>
      </w:r>
      <w:r>
        <w:t xml:space="preserve"> </w:t>
      </w:r>
      <w:r w:rsidR="00616BCE">
        <w:t>Cel ogólny długookresowy do roku 2014</w:t>
      </w:r>
      <w:r>
        <w:t xml:space="preserve"> to: z</w:t>
      </w:r>
      <w:r w:rsidR="00616BCE">
        <w:t>minimalizowanie ilości wytwarzanych odpadów w sektorze komunalnym, oraz wdrożenie nowoczesnych systemów ich odzysku i unieszkodliwiania.</w:t>
      </w:r>
    </w:p>
    <w:p w:rsidR="00467126" w:rsidRPr="000B3D7E" w:rsidRDefault="00CA48F9" w:rsidP="00467126">
      <w:pPr>
        <w:autoSpaceDE w:val="0"/>
        <w:autoSpaceDN w:val="0"/>
        <w:adjustRightInd w:val="0"/>
        <w:spacing w:after="0" w:line="240" w:lineRule="auto"/>
        <w:rPr>
          <w:rFonts w:cs="Helvetica"/>
          <w:b/>
          <w:color w:val="943634" w:themeColor="accent2" w:themeShade="BF"/>
          <w:szCs w:val="20"/>
        </w:rPr>
      </w:pPr>
      <w:r w:rsidRPr="000B3D7E">
        <w:rPr>
          <w:rFonts w:cs="Helvetica"/>
          <w:b/>
          <w:color w:val="943634" w:themeColor="accent2" w:themeShade="BF"/>
          <w:szCs w:val="20"/>
        </w:rPr>
        <w:t>„</w:t>
      </w:r>
      <w:r w:rsidR="00467126" w:rsidRPr="000B3D7E">
        <w:rPr>
          <w:rFonts w:cs="Helvetica"/>
          <w:b/>
          <w:color w:val="943634" w:themeColor="accent2" w:themeShade="BF"/>
          <w:szCs w:val="20"/>
        </w:rPr>
        <w:t xml:space="preserve">Program Ochrony </w:t>
      </w:r>
      <w:r w:rsidR="00467126" w:rsidRPr="000B3D7E">
        <w:rPr>
          <w:rFonts w:cs="Arial"/>
          <w:b/>
          <w:color w:val="943634" w:themeColor="accent2" w:themeShade="BF"/>
          <w:szCs w:val="20"/>
        </w:rPr>
        <w:t>Ś</w:t>
      </w:r>
      <w:r w:rsidR="00467126" w:rsidRPr="000B3D7E">
        <w:rPr>
          <w:rFonts w:cs="Helvetica"/>
          <w:b/>
          <w:color w:val="943634" w:themeColor="accent2" w:themeShade="BF"/>
          <w:szCs w:val="20"/>
        </w:rPr>
        <w:t xml:space="preserve">rodowiska </w:t>
      </w:r>
      <w:r w:rsidRPr="000B3D7E">
        <w:rPr>
          <w:rFonts w:cs="Helvetica"/>
          <w:b/>
          <w:color w:val="943634" w:themeColor="accent2" w:themeShade="BF"/>
          <w:szCs w:val="20"/>
        </w:rPr>
        <w:t>na lata 2004-2007 z perspektywą na lata 2008-2011”</w:t>
      </w:r>
      <w:r w:rsidR="00C1725A" w:rsidRPr="00C1725A">
        <w:rPr>
          <w:rFonts w:cs="Helvetica"/>
          <w:szCs w:val="20"/>
        </w:rPr>
        <w:t xml:space="preserve"> (</w:t>
      </w:r>
      <w:r w:rsidR="00C1725A">
        <w:rPr>
          <w:rFonts w:cs="Helvetica"/>
          <w:szCs w:val="20"/>
        </w:rPr>
        <w:t xml:space="preserve">uchwalony dnia </w:t>
      </w:r>
      <w:r w:rsidR="00C1725A" w:rsidRPr="00C1725A">
        <w:rPr>
          <w:rFonts w:cs="Helvetica"/>
          <w:szCs w:val="20"/>
        </w:rPr>
        <w:t>24 maja 2005r.)</w:t>
      </w:r>
    </w:p>
    <w:p w:rsidR="00655B45" w:rsidRDefault="00655B45" w:rsidP="00B13733">
      <w:pPr>
        <w:spacing w:after="0"/>
        <w:jc w:val="both"/>
      </w:pPr>
      <w:r>
        <w:t>W dokumencie wskazano obszary problemowe w dziedzinie ochrony środowiska:</w:t>
      </w:r>
    </w:p>
    <w:p w:rsidR="00655B45" w:rsidRPr="00655B45" w:rsidRDefault="00655B45" w:rsidP="00E84FFC">
      <w:pPr>
        <w:pStyle w:val="Akapitzlist"/>
        <w:numPr>
          <w:ilvl w:val="0"/>
          <w:numId w:val="17"/>
        </w:numPr>
        <w:spacing w:line="276" w:lineRule="auto"/>
        <w:rPr>
          <w:rFonts w:asciiTheme="minorHAnsi" w:hAnsiTheme="minorHAnsi"/>
          <w:sz w:val="22"/>
        </w:rPr>
      </w:pPr>
      <w:r w:rsidRPr="00655B45">
        <w:rPr>
          <w:rFonts w:asciiTheme="minorHAnsi" w:hAnsiTheme="minorHAnsi"/>
          <w:sz w:val="22"/>
        </w:rPr>
        <w:t>Obszar I – Turystyka, rolnictwo, powierzchnia ziemi</w:t>
      </w:r>
    </w:p>
    <w:p w:rsidR="00655B45" w:rsidRPr="00655B45" w:rsidRDefault="00655B45" w:rsidP="00E84FFC">
      <w:pPr>
        <w:pStyle w:val="Akapitzlist"/>
        <w:numPr>
          <w:ilvl w:val="0"/>
          <w:numId w:val="17"/>
        </w:numPr>
        <w:spacing w:line="276" w:lineRule="auto"/>
        <w:rPr>
          <w:rFonts w:asciiTheme="minorHAnsi" w:hAnsiTheme="minorHAnsi"/>
          <w:sz w:val="22"/>
        </w:rPr>
      </w:pPr>
      <w:r w:rsidRPr="00655B45">
        <w:rPr>
          <w:rFonts w:asciiTheme="minorHAnsi" w:hAnsiTheme="minorHAnsi"/>
          <w:sz w:val="22"/>
        </w:rPr>
        <w:t>Obszar II Zasoby wodne</w:t>
      </w:r>
    </w:p>
    <w:p w:rsidR="00655B45" w:rsidRPr="00655B45" w:rsidRDefault="00655B45" w:rsidP="00E84FFC">
      <w:pPr>
        <w:pStyle w:val="Akapitzlist"/>
        <w:numPr>
          <w:ilvl w:val="0"/>
          <w:numId w:val="17"/>
        </w:numPr>
        <w:spacing w:line="276" w:lineRule="auto"/>
        <w:rPr>
          <w:rFonts w:asciiTheme="minorHAnsi" w:hAnsiTheme="minorHAnsi"/>
          <w:sz w:val="22"/>
        </w:rPr>
      </w:pPr>
      <w:r w:rsidRPr="00655B45">
        <w:rPr>
          <w:rFonts w:asciiTheme="minorHAnsi" w:hAnsiTheme="minorHAnsi"/>
          <w:sz w:val="22"/>
        </w:rPr>
        <w:t>Obszar III Powietrze, hałas, pole elektromagnetyczne</w:t>
      </w:r>
    </w:p>
    <w:p w:rsidR="00655B45" w:rsidRPr="00655B45" w:rsidRDefault="00655B45" w:rsidP="00E84FFC">
      <w:pPr>
        <w:pStyle w:val="Akapitzlist"/>
        <w:numPr>
          <w:ilvl w:val="0"/>
          <w:numId w:val="17"/>
        </w:numPr>
        <w:spacing w:line="276" w:lineRule="auto"/>
        <w:rPr>
          <w:rFonts w:asciiTheme="minorHAnsi" w:hAnsiTheme="minorHAnsi"/>
          <w:sz w:val="22"/>
        </w:rPr>
      </w:pPr>
      <w:r w:rsidRPr="00655B45">
        <w:rPr>
          <w:rFonts w:asciiTheme="minorHAnsi" w:hAnsiTheme="minorHAnsi"/>
          <w:sz w:val="22"/>
        </w:rPr>
        <w:t>Obszar IV Przyroda, zasoby przyrodnicze</w:t>
      </w:r>
    </w:p>
    <w:p w:rsidR="00655B45" w:rsidRPr="00655B45" w:rsidRDefault="00655B45" w:rsidP="00306F0C">
      <w:pPr>
        <w:spacing w:before="60" w:after="60" w:line="240" w:lineRule="auto"/>
        <w:jc w:val="both"/>
      </w:pPr>
      <w:r w:rsidRPr="00655B45">
        <w:t>Na podstawie powyższych obszarów problemowych, oraz</w:t>
      </w:r>
      <w:r>
        <w:t xml:space="preserve"> </w:t>
      </w:r>
      <w:r w:rsidRPr="00655B45">
        <w:t xml:space="preserve">przeprowadzonej </w:t>
      </w:r>
      <w:r>
        <w:t xml:space="preserve">w dokumencie </w:t>
      </w:r>
      <w:r w:rsidRPr="00655B45">
        <w:t>diagnozy wyróżniono obszary strategiczne</w:t>
      </w:r>
      <w:r>
        <w:t>:</w:t>
      </w:r>
    </w:p>
    <w:p w:rsidR="00CA48F9" w:rsidRPr="005F2A05" w:rsidRDefault="00B13733" w:rsidP="00306F0C">
      <w:pPr>
        <w:spacing w:before="60" w:after="60" w:line="240" w:lineRule="auto"/>
        <w:jc w:val="both"/>
        <w:rPr>
          <w:rFonts w:cstheme="minorHAnsi"/>
        </w:rPr>
      </w:pPr>
      <w:r w:rsidRPr="005F2A05">
        <w:rPr>
          <w:rFonts w:cstheme="minorHAnsi"/>
        </w:rPr>
        <w:t>Obszar strategiczny I – Ochrona środowiska w turystyce i rolnictwie, ochrona powierzchni ziemi</w:t>
      </w:r>
      <w:r w:rsidR="005F2A05">
        <w:rPr>
          <w:rFonts w:cstheme="minorHAnsi"/>
        </w:rPr>
        <w:t>:</w:t>
      </w:r>
    </w:p>
    <w:p w:rsidR="005F2A05" w:rsidRPr="005F2A05" w:rsidRDefault="00B13733" w:rsidP="00E84FFC">
      <w:pPr>
        <w:pStyle w:val="Akapitzlist"/>
        <w:numPr>
          <w:ilvl w:val="0"/>
          <w:numId w:val="24"/>
        </w:numPr>
        <w:spacing w:before="60" w:after="60"/>
        <w:jc w:val="both"/>
        <w:rPr>
          <w:rFonts w:asciiTheme="minorHAnsi" w:hAnsiTheme="minorHAnsi" w:cstheme="minorHAnsi"/>
          <w:sz w:val="22"/>
          <w:szCs w:val="22"/>
        </w:rPr>
      </w:pPr>
      <w:r w:rsidRPr="005F2A05">
        <w:rPr>
          <w:rFonts w:asciiTheme="minorHAnsi" w:hAnsiTheme="minorHAnsi" w:cstheme="minorHAnsi"/>
          <w:sz w:val="22"/>
          <w:szCs w:val="22"/>
        </w:rPr>
        <w:t>Minimalizacja negatywnego oddziaływania turystyki</w:t>
      </w:r>
      <w:r w:rsidR="005F2A05" w:rsidRPr="005F2A05">
        <w:rPr>
          <w:rFonts w:asciiTheme="minorHAnsi" w:hAnsiTheme="minorHAnsi" w:cstheme="minorHAnsi"/>
          <w:sz w:val="22"/>
          <w:szCs w:val="22"/>
        </w:rPr>
        <w:t>,</w:t>
      </w:r>
    </w:p>
    <w:p w:rsidR="005F2A05" w:rsidRPr="005F2A05" w:rsidRDefault="00B13733" w:rsidP="00E84FFC">
      <w:pPr>
        <w:pStyle w:val="Akapitzlist"/>
        <w:numPr>
          <w:ilvl w:val="0"/>
          <w:numId w:val="24"/>
        </w:numPr>
        <w:spacing w:before="60" w:after="60"/>
        <w:jc w:val="both"/>
        <w:rPr>
          <w:rFonts w:asciiTheme="minorHAnsi" w:hAnsiTheme="minorHAnsi" w:cstheme="minorHAnsi"/>
          <w:sz w:val="22"/>
          <w:szCs w:val="22"/>
        </w:rPr>
      </w:pPr>
      <w:r w:rsidRPr="005F2A05">
        <w:rPr>
          <w:rFonts w:asciiTheme="minorHAnsi" w:hAnsiTheme="minorHAnsi" w:cstheme="minorHAnsi"/>
          <w:sz w:val="22"/>
          <w:szCs w:val="22"/>
        </w:rPr>
        <w:t>Racjonalizacja gospodarki substancjami wykorzystywanymi w z rolnictwie oraz jego produktów</w:t>
      </w:r>
      <w:r w:rsidR="005F2A05" w:rsidRPr="005F2A05">
        <w:rPr>
          <w:rFonts w:asciiTheme="minorHAnsi" w:hAnsiTheme="minorHAnsi" w:cstheme="minorHAnsi"/>
          <w:sz w:val="22"/>
          <w:szCs w:val="22"/>
        </w:rPr>
        <w:t>,</w:t>
      </w:r>
    </w:p>
    <w:p w:rsidR="00B13733" w:rsidRPr="005F2A05" w:rsidRDefault="00B13733" w:rsidP="00E84FFC">
      <w:pPr>
        <w:pStyle w:val="Akapitzlist"/>
        <w:numPr>
          <w:ilvl w:val="0"/>
          <w:numId w:val="24"/>
        </w:numPr>
        <w:spacing w:before="60" w:after="60"/>
        <w:jc w:val="both"/>
        <w:rPr>
          <w:rFonts w:asciiTheme="minorHAnsi" w:hAnsiTheme="minorHAnsi" w:cstheme="minorHAnsi"/>
          <w:sz w:val="22"/>
          <w:szCs w:val="22"/>
        </w:rPr>
      </w:pPr>
      <w:r w:rsidRPr="005F2A05">
        <w:rPr>
          <w:rFonts w:asciiTheme="minorHAnsi" w:hAnsiTheme="minorHAnsi" w:cstheme="minorHAnsi"/>
          <w:sz w:val="22"/>
          <w:szCs w:val="22"/>
        </w:rPr>
        <w:t>Promocja rolnictwa ekologicznego i pro środowiskowej produkcji rolnej oraz ochrona gleb</w:t>
      </w:r>
    </w:p>
    <w:p w:rsidR="00B13733" w:rsidRPr="005F2A05" w:rsidRDefault="00B13733" w:rsidP="00306F0C">
      <w:pPr>
        <w:spacing w:before="60" w:after="60" w:line="240" w:lineRule="auto"/>
        <w:jc w:val="both"/>
        <w:rPr>
          <w:rFonts w:cstheme="minorHAnsi"/>
        </w:rPr>
      </w:pPr>
      <w:r w:rsidRPr="005F2A05">
        <w:rPr>
          <w:rFonts w:cstheme="minorHAnsi"/>
        </w:rPr>
        <w:t>Obszar strategiczny II – Optymalizacja gospodarowania zasobami wodnym</w:t>
      </w:r>
      <w:r w:rsidR="005F2A05">
        <w:rPr>
          <w:rFonts w:cstheme="minorHAnsi"/>
        </w:rPr>
        <w:t>:</w:t>
      </w:r>
    </w:p>
    <w:p w:rsidR="005F2A05" w:rsidRPr="005F2A05" w:rsidRDefault="00B13733" w:rsidP="00E84FFC">
      <w:pPr>
        <w:pStyle w:val="Akapitzlist"/>
        <w:numPr>
          <w:ilvl w:val="0"/>
          <w:numId w:val="25"/>
        </w:numPr>
        <w:spacing w:before="60" w:after="60"/>
        <w:jc w:val="both"/>
        <w:rPr>
          <w:rFonts w:asciiTheme="minorHAnsi" w:hAnsiTheme="minorHAnsi" w:cstheme="minorHAnsi"/>
          <w:sz w:val="22"/>
          <w:szCs w:val="22"/>
        </w:rPr>
      </w:pPr>
      <w:r w:rsidRPr="005F2A05">
        <w:rPr>
          <w:rFonts w:asciiTheme="minorHAnsi" w:hAnsiTheme="minorHAnsi" w:cstheme="minorHAnsi"/>
          <w:sz w:val="22"/>
          <w:szCs w:val="22"/>
        </w:rPr>
        <w:t>Udoskonalenie systemu wodociągowego</w:t>
      </w:r>
      <w:r w:rsidR="005F2A05" w:rsidRPr="005F2A05">
        <w:rPr>
          <w:rFonts w:asciiTheme="minorHAnsi" w:hAnsiTheme="minorHAnsi" w:cstheme="minorHAnsi"/>
          <w:sz w:val="22"/>
          <w:szCs w:val="22"/>
        </w:rPr>
        <w:t>,</w:t>
      </w:r>
    </w:p>
    <w:p w:rsidR="005F2A05" w:rsidRPr="005F2A05" w:rsidRDefault="00B13733" w:rsidP="00E84FFC">
      <w:pPr>
        <w:pStyle w:val="Akapitzlist"/>
        <w:numPr>
          <w:ilvl w:val="0"/>
          <w:numId w:val="25"/>
        </w:numPr>
        <w:spacing w:before="60" w:after="60"/>
        <w:jc w:val="both"/>
        <w:rPr>
          <w:rFonts w:asciiTheme="minorHAnsi" w:hAnsiTheme="minorHAnsi" w:cstheme="minorHAnsi"/>
          <w:sz w:val="22"/>
          <w:szCs w:val="22"/>
        </w:rPr>
      </w:pPr>
      <w:r w:rsidRPr="005F2A05">
        <w:rPr>
          <w:rFonts w:asciiTheme="minorHAnsi" w:hAnsiTheme="minorHAnsi" w:cstheme="minorHAnsi"/>
          <w:sz w:val="22"/>
          <w:szCs w:val="22"/>
        </w:rPr>
        <w:t>Zapewnienie gospodarki ściekami na obszarze całej gminy</w:t>
      </w:r>
      <w:r w:rsidR="005F2A05" w:rsidRPr="005F2A05">
        <w:rPr>
          <w:rFonts w:asciiTheme="minorHAnsi" w:hAnsiTheme="minorHAnsi" w:cstheme="minorHAnsi"/>
          <w:sz w:val="22"/>
          <w:szCs w:val="22"/>
        </w:rPr>
        <w:t>,</w:t>
      </w:r>
    </w:p>
    <w:p w:rsidR="00B13733" w:rsidRPr="005F2A05" w:rsidRDefault="00B13733" w:rsidP="00E84FFC">
      <w:pPr>
        <w:pStyle w:val="Akapitzlist"/>
        <w:numPr>
          <w:ilvl w:val="0"/>
          <w:numId w:val="25"/>
        </w:numPr>
        <w:spacing w:before="60" w:after="60"/>
        <w:jc w:val="both"/>
        <w:rPr>
          <w:rFonts w:asciiTheme="minorHAnsi" w:hAnsiTheme="minorHAnsi" w:cstheme="minorHAnsi"/>
          <w:sz w:val="22"/>
          <w:szCs w:val="22"/>
        </w:rPr>
      </w:pPr>
      <w:r w:rsidRPr="005F2A05">
        <w:rPr>
          <w:rFonts w:asciiTheme="minorHAnsi" w:hAnsiTheme="minorHAnsi" w:cstheme="minorHAnsi"/>
          <w:sz w:val="22"/>
          <w:szCs w:val="22"/>
        </w:rPr>
        <w:t>Racjonalizacja gospodarki wodami powierzchniowymi i podziemnymi na terenie gminy</w:t>
      </w:r>
      <w:r w:rsidR="005F2A05" w:rsidRPr="005F2A05">
        <w:rPr>
          <w:rFonts w:asciiTheme="minorHAnsi" w:hAnsiTheme="minorHAnsi" w:cstheme="minorHAnsi"/>
          <w:sz w:val="22"/>
          <w:szCs w:val="22"/>
        </w:rPr>
        <w:t>.</w:t>
      </w:r>
    </w:p>
    <w:p w:rsidR="00B13733" w:rsidRPr="00B13733" w:rsidRDefault="00B13733" w:rsidP="00306F0C">
      <w:pPr>
        <w:spacing w:before="60" w:after="60" w:line="240" w:lineRule="auto"/>
        <w:jc w:val="both"/>
      </w:pPr>
      <w:r w:rsidRPr="00B13733">
        <w:t xml:space="preserve">Obszar strategiczny III – Ochrona powietrza atmosferycznego, ochrona przed hałasem </w:t>
      </w:r>
      <w:r w:rsidR="00C56D36">
        <w:br/>
      </w:r>
      <w:r w:rsidRPr="00B13733">
        <w:t>i promieniowaniem elektromagnetycznym</w:t>
      </w:r>
    </w:p>
    <w:p w:rsidR="00933930" w:rsidRPr="00933930" w:rsidRDefault="00B13733" w:rsidP="00E84FFC">
      <w:pPr>
        <w:pStyle w:val="Akapitzlist"/>
        <w:numPr>
          <w:ilvl w:val="0"/>
          <w:numId w:val="26"/>
        </w:numPr>
        <w:spacing w:before="60" w:after="60"/>
        <w:jc w:val="both"/>
        <w:rPr>
          <w:rFonts w:asciiTheme="minorHAnsi" w:hAnsiTheme="minorHAnsi" w:cstheme="minorHAnsi"/>
          <w:sz w:val="22"/>
          <w:szCs w:val="22"/>
        </w:rPr>
      </w:pPr>
      <w:r w:rsidRPr="00933930">
        <w:rPr>
          <w:rFonts w:asciiTheme="minorHAnsi" w:hAnsiTheme="minorHAnsi" w:cstheme="minorHAnsi"/>
          <w:sz w:val="22"/>
          <w:szCs w:val="22"/>
        </w:rPr>
        <w:t>Rozbudowa i modernizacja infrastruktury energetycznej</w:t>
      </w:r>
      <w:r w:rsidR="00933930" w:rsidRPr="00933930">
        <w:rPr>
          <w:rFonts w:asciiTheme="minorHAnsi" w:hAnsiTheme="minorHAnsi" w:cstheme="minorHAnsi"/>
          <w:sz w:val="22"/>
          <w:szCs w:val="22"/>
        </w:rPr>
        <w:t>,</w:t>
      </w:r>
    </w:p>
    <w:p w:rsidR="00B13733" w:rsidRPr="00933930" w:rsidRDefault="00B13733" w:rsidP="00E84FFC">
      <w:pPr>
        <w:pStyle w:val="Akapitzlist"/>
        <w:numPr>
          <w:ilvl w:val="0"/>
          <w:numId w:val="26"/>
        </w:numPr>
        <w:spacing w:before="60" w:after="60"/>
        <w:jc w:val="both"/>
        <w:rPr>
          <w:rFonts w:asciiTheme="minorHAnsi" w:hAnsiTheme="minorHAnsi" w:cstheme="minorHAnsi"/>
          <w:sz w:val="22"/>
          <w:szCs w:val="22"/>
        </w:rPr>
      </w:pPr>
      <w:r w:rsidRPr="00933930">
        <w:rPr>
          <w:rFonts w:asciiTheme="minorHAnsi" w:hAnsiTheme="minorHAnsi" w:cstheme="minorHAnsi"/>
          <w:sz w:val="22"/>
          <w:szCs w:val="22"/>
        </w:rPr>
        <w:lastRenderedPageBreak/>
        <w:t>Ograniczenie emisji zanieczyszczeń powietrza, hałasu i pola elektromagnetycznego</w:t>
      </w:r>
    </w:p>
    <w:p w:rsidR="00B13733" w:rsidRPr="00B13733" w:rsidRDefault="00B13733" w:rsidP="00306F0C">
      <w:pPr>
        <w:spacing w:before="60" w:after="60" w:line="240" w:lineRule="auto"/>
        <w:jc w:val="both"/>
      </w:pPr>
      <w:r w:rsidRPr="00933930">
        <w:rPr>
          <w:rFonts w:cstheme="minorHAnsi"/>
        </w:rPr>
        <w:t>Obszar strategiczny IV– Ochrona dziedzictwa przyrodniczego i racjonalne użytkowanie zasobów</w:t>
      </w:r>
      <w:r w:rsidRPr="00B13733">
        <w:t xml:space="preserve"> przyrody</w:t>
      </w:r>
      <w:r w:rsidR="00933930">
        <w:t>:</w:t>
      </w:r>
    </w:p>
    <w:p w:rsidR="00B13733" w:rsidRPr="00933930" w:rsidRDefault="00B13733" w:rsidP="00E84FFC">
      <w:pPr>
        <w:pStyle w:val="Akapitzlist"/>
        <w:numPr>
          <w:ilvl w:val="0"/>
          <w:numId w:val="27"/>
        </w:numPr>
        <w:jc w:val="both"/>
        <w:rPr>
          <w:rFonts w:asciiTheme="minorHAnsi" w:hAnsiTheme="minorHAnsi" w:cstheme="minorHAnsi"/>
          <w:sz w:val="22"/>
          <w:szCs w:val="22"/>
        </w:rPr>
      </w:pPr>
      <w:r w:rsidRPr="00933930">
        <w:rPr>
          <w:rFonts w:asciiTheme="minorHAnsi" w:hAnsiTheme="minorHAnsi" w:cstheme="minorHAnsi"/>
          <w:sz w:val="22"/>
          <w:szCs w:val="22"/>
        </w:rPr>
        <w:t>Poznanie i ochrona walorów i zasobów przyrodniczych miasta i gminy Pobiedziska</w:t>
      </w:r>
    </w:p>
    <w:p w:rsidR="00B13733" w:rsidRPr="00B13733" w:rsidRDefault="00B13733" w:rsidP="00306F0C">
      <w:pPr>
        <w:spacing w:before="60" w:after="60" w:line="240" w:lineRule="auto"/>
        <w:jc w:val="both"/>
      </w:pPr>
      <w:r w:rsidRPr="00B13733">
        <w:t>Obszar strategiczny V – „Gorące punkty” i awarie (NOŚ)</w:t>
      </w:r>
      <w:r w:rsidR="00933930">
        <w:t>:</w:t>
      </w:r>
    </w:p>
    <w:p w:rsidR="00933930" w:rsidRPr="00933930" w:rsidRDefault="00B13733" w:rsidP="00E84FFC">
      <w:pPr>
        <w:pStyle w:val="Akapitzlist"/>
        <w:numPr>
          <w:ilvl w:val="0"/>
          <w:numId w:val="28"/>
        </w:numPr>
        <w:spacing w:before="60" w:after="60"/>
        <w:jc w:val="both"/>
        <w:rPr>
          <w:rFonts w:asciiTheme="minorHAnsi" w:hAnsiTheme="minorHAnsi" w:cstheme="minorHAnsi"/>
          <w:sz w:val="22"/>
          <w:szCs w:val="22"/>
        </w:rPr>
      </w:pPr>
      <w:r w:rsidRPr="00933930">
        <w:rPr>
          <w:rFonts w:asciiTheme="minorHAnsi" w:hAnsiTheme="minorHAnsi" w:cstheme="minorHAnsi"/>
          <w:sz w:val="22"/>
          <w:szCs w:val="22"/>
        </w:rPr>
        <w:t>Identyfikacja „gorących punktów” na obszarze gminy</w:t>
      </w:r>
      <w:r w:rsidR="00933930" w:rsidRPr="00933930">
        <w:rPr>
          <w:rFonts w:asciiTheme="minorHAnsi" w:hAnsiTheme="minorHAnsi" w:cstheme="minorHAnsi"/>
          <w:sz w:val="22"/>
          <w:szCs w:val="22"/>
        </w:rPr>
        <w:t>,</w:t>
      </w:r>
    </w:p>
    <w:p w:rsidR="00B13733" w:rsidRPr="00933930" w:rsidRDefault="00B13733" w:rsidP="00E84FFC">
      <w:pPr>
        <w:pStyle w:val="Akapitzlist"/>
        <w:numPr>
          <w:ilvl w:val="0"/>
          <w:numId w:val="28"/>
        </w:numPr>
        <w:spacing w:before="60" w:after="60"/>
        <w:jc w:val="both"/>
        <w:rPr>
          <w:rFonts w:asciiTheme="minorHAnsi" w:hAnsiTheme="minorHAnsi" w:cstheme="minorHAnsi"/>
          <w:sz w:val="22"/>
          <w:szCs w:val="22"/>
        </w:rPr>
      </w:pPr>
      <w:r w:rsidRPr="00933930">
        <w:rPr>
          <w:rFonts w:asciiTheme="minorHAnsi" w:hAnsiTheme="minorHAnsi" w:cstheme="minorHAnsi"/>
          <w:sz w:val="22"/>
          <w:szCs w:val="22"/>
        </w:rPr>
        <w:t>Zapobieganie Awariom</w:t>
      </w:r>
      <w:r w:rsidR="00933930">
        <w:rPr>
          <w:rFonts w:asciiTheme="minorHAnsi" w:hAnsiTheme="minorHAnsi" w:cstheme="minorHAnsi"/>
          <w:sz w:val="22"/>
          <w:szCs w:val="22"/>
        </w:rPr>
        <w:t>.</w:t>
      </w:r>
    </w:p>
    <w:p w:rsidR="00B13733" w:rsidRPr="00933930" w:rsidRDefault="00B13733" w:rsidP="00306F0C">
      <w:pPr>
        <w:spacing w:before="60" w:after="60" w:line="240" w:lineRule="auto"/>
        <w:jc w:val="both"/>
        <w:rPr>
          <w:rFonts w:cstheme="minorHAnsi"/>
        </w:rPr>
      </w:pPr>
      <w:r w:rsidRPr="00933930">
        <w:rPr>
          <w:rFonts w:cstheme="minorHAnsi"/>
        </w:rPr>
        <w:t>Obszar strategiczny VI – Świadomość ekologiczna mieszkańców i edukacja ekologiczna</w:t>
      </w:r>
    </w:p>
    <w:p w:rsidR="00933930" w:rsidRPr="00933930" w:rsidRDefault="00B13733" w:rsidP="00E84FFC">
      <w:pPr>
        <w:pStyle w:val="Akapitzlist"/>
        <w:numPr>
          <w:ilvl w:val="0"/>
          <w:numId w:val="29"/>
        </w:numPr>
        <w:spacing w:before="60" w:after="60"/>
        <w:jc w:val="both"/>
        <w:rPr>
          <w:rFonts w:asciiTheme="minorHAnsi" w:hAnsiTheme="minorHAnsi" w:cstheme="minorHAnsi"/>
          <w:sz w:val="22"/>
          <w:szCs w:val="22"/>
        </w:rPr>
      </w:pPr>
      <w:r w:rsidRPr="00933930">
        <w:rPr>
          <w:rFonts w:asciiTheme="minorHAnsi" w:hAnsiTheme="minorHAnsi" w:cstheme="minorHAnsi"/>
          <w:sz w:val="22"/>
          <w:szCs w:val="22"/>
        </w:rPr>
        <w:t>Pełen dostęp społeczeństwa do danych w zakresie ochrony środowiska w mieście i gminie Pobiedziska</w:t>
      </w:r>
      <w:r w:rsidR="00933930" w:rsidRPr="00933930">
        <w:rPr>
          <w:rFonts w:asciiTheme="minorHAnsi" w:hAnsiTheme="minorHAnsi" w:cstheme="minorHAnsi"/>
          <w:sz w:val="22"/>
          <w:szCs w:val="22"/>
        </w:rPr>
        <w:t>,</w:t>
      </w:r>
    </w:p>
    <w:p w:rsidR="00933930" w:rsidRPr="00933930" w:rsidRDefault="00B13733" w:rsidP="00E84FFC">
      <w:pPr>
        <w:pStyle w:val="Akapitzlist"/>
        <w:numPr>
          <w:ilvl w:val="0"/>
          <w:numId w:val="29"/>
        </w:numPr>
        <w:spacing w:before="60" w:after="60"/>
        <w:jc w:val="both"/>
        <w:rPr>
          <w:rFonts w:asciiTheme="minorHAnsi" w:hAnsiTheme="minorHAnsi" w:cstheme="minorHAnsi"/>
          <w:sz w:val="22"/>
          <w:szCs w:val="22"/>
        </w:rPr>
      </w:pPr>
      <w:r w:rsidRPr="00933930">
        <w:rPr>
          <w:rFonts w:asciiTheme="minorHAnsi" w:hAnsiTheme="minorHAnsi" w:cstheme="minorHAnsi"/>
          <w:sz w:val="22"/>
          <w:szCs w:val="22"/>
        </w:rPr>
        <w:t>Poprawa świadomości ekologicznej dzieci i młodzieży</w:t>
      </w:r>
      <w:r w:rsidR="00933930" w:rsidRPr="00933930">
        <w:rPr>
          <w:rFonts w:asciiTheme="minorHAnsi" w:hAnsiTheme="minorHAnsi" w:cstheme="minorHAnsi"/>
          <w:sz w:val="22"/>
          <w:szCs w:val="22"/>
        </w:rPr>
        <w:t>,</w:t>
      </w:r>
    </w:p>
    <w:p w:rsidR="00B13733" w:rsidRPr="00933930" w:rsidRDefault="00B13733" w:rsidP="00E84FFC">
      <w:pPr>
        <w:pStyle w:val="Akapitzlist"/>
        <w:numPr>
          <w:ilvl w:val="0"/>
          <w:numId w:val="29"/>
        </w:numPr>
        <w:spacing w:before="60" w:after="60"/>
        <w:jc w:val="both"/>
        <w:rPr>
          <w:rFonts w:asciiTheme="minorHAnsi" w:hAnsiTheme="minorHAnsi" w:cstheme="minorHAnsi"/>
          <w:sz w:val="22"/>
          <w:szCs w:val="22"/>
        </w:rPr>
      </w:pPr>
      <w:r w:rsidRPr="00933930">
        <w:rPr>
          <w:rFonts w:asciiTheme="minorHAnsi" w:hAnsiTheme="minorHAnsi" w:cstheme="minorHAnsi"/>
          <w:sz w:val="22"/>
          <w:szCs w:val="22"/>
        </w:rPr>
        <w:t>Wspieranie edukacji ekologicznej i działań proekologicznych</w:t>
      </w:r>
      <w:r w:rsidR="00933930" w:rsidRPr="00933930">
        <w:rPr>
          <w:rFonts w:asciiTheme="minorHAnsi" w:hAnsiTheme="minorHAnsi" w:cstheme="minorHAnsi"/>
          <w:sz w:val="22"/>
          <w:szCs w:val="22"/>
        </w:rPr>
        <w:t>.</w:t>
      </w:r>
    </w:p>
    <w:p w:rsidR="00B13733" w:rsidRPr="00933930" w:rsidRDefault="00B13733" w:rsidP="00306F0C">
      <w:pPr>
        <w:spacing w:before="60" w:after="60" w:line="240" w:lineRule="auto"/>
        <w:jc w:val="both"/>
        <w:rPr>
          <w:rFonts w:cstheme="minorHAnsi"/>
        </w:rPr>
      </w:pPr>
      <w:r w:rsidRPr="00933930">
        <w:rPr>
          <w:rFonts w:cstheme="minorHAnsi"/>
        </w:rPr>
        <w:t>Obszar strategiczny VII – Zarządzanie środowiskiem</w:t>
      </w:r>
    </w:p>
    <w:p w:rsidR="00B13733" w:rsidRPr="00933930" w:rsidRDefault="00B13733" w:rsidP="00E84FFC">
      <w:pPr>
        <w:pStyle w:val="Akapitzlist"/>
        <w:numPr>
          <w:ilvl w:val="0"/>
          <w:numId w:val="30"/>
        </w:numPr>
        <w:spacing w:before="60" w:after="60"/>
        <w:jc w:val="both"/>
        <w:rPr>
          <w:rFonts w:asciiTheme="minorHAnsi" w:hAnsiTheme="minorHAnsi" w:cstheme="minorHAnsi"/>
          <w:sz w:val="22"/>
          <w:szCs w:val="22"/>
        </w:rPr>
      </w:pPr>
      <w:r w:rsidRPr="00933930">
        <w:rPr>
          <w:rFonts w:asciiTheme="minorHAnsi" w:hAnsiTheme="minorHAnsi" w:cstheme="minorHAnsi"/>
          <w:sz w:val="22"/>
          <w:szCs w:val="22"/>
        </w:rPr>
        <w:t>Wypełnianie nałożonych zadań</w:t>
      </w:r>
      <w:r w:rsidR="00933930">
        <w:rPr>
          <w:rFonts w:asciiTheme="minorHAnsi" w:hAnsiTheme="minorHAnsi" w:cstheme="minorHAnsi"/>
          <w:sz w:val="22"/>
          <w:szCs w:val="22"/>
        </w:rPr>
        <w:t>.</w:t>
      </w:r>
    </w:p>
    <w:p w:rsidR="00CA48F9" w:rsidRPr="00676F02" w:rsidRDefault="00676F02" w:rsidP="00C56D36">
      <w:pPr>
        <w:spacing w:before="240" w:after="0"/>
        <w:jc w:val="both"/>
        <w:rPr>
          <w:b/>
          <w:color w:val="943634" w:themeColor="accent2" w:themeShade="BF"/>
        </w:rPr>
      </w:pPr>
      <w:r w:rsidRPr="00676F02">
        <w:rPr>
          <w:b/>
          <w:color w:val="943634" w:themeColor="accent2" w:themeShade="BF"/>
        </w:rPr>
        <w:t>„Wieloletni program gospodarowania mieszkaniowym zasobem Gminy Pobiedziska na lata 2011-2016”</w:t>
      </w:r>
      <w:r w:rsidR="00566FBA">
        <w:rPr>
          <w:b/>
          <w:color w:val="943634" w:themeColor="accent2" w:themeShade="BF"/>
        </w:rPr>
        <w:t xml:space="preserve"> </w:t>
      </w:r>
      <w:r w:rsidR="00566FBA" w:rsidRPr="00566FBA">
        <w:t>(uchwalony w lutym 2011 r.)</w:t>
      </w:r>
    </w:p>
    <w:p w:rsidR="00676F02" w:rsidRPr="00676F02" w:rsidRDefault="00676F02" w:rsidP="00306F0C">
      <w:pPr>
        <w:spacing w:after="0" w:line="240" w:lineRule="auto"/>
        <w:jc w:val="both"/>
      </w:pPr>
      <w:r>
        <w:t xml:space="preserve">Głównym celem programu </w:t>
      </w:r>
      <w:r w:rsidRPr="00676F02">
        <w:t>jest dążenie do racjonalnego i efektywnego gospodarowania posiadanym zasobem mieszkaniowym.</w:t>
      </w:r>
    </w:p>
    <w:p w:rsidR="00676F02" w:rsidRDefault="00676F02" w:rsidP="00306F0C">
      <w:pPr>
        <w:spacing w:after="0" w:line="240" w:lineRule="auto"/>
        <w:jc w:val="both"/>
      </w:pPr>
      <w:r>
        <w:t>Działania dotyczące mieszkalnictwa mają za zadanie:</w:t>
      </w:r>
    </w:p>
    <w:p w:rsidR="00933930" w:rsidRPr="00933930" w:rsidRDefault="00676F02" w:rsidP="00E84FFC">
      <w:pPr>
        <w:pStyle w:val="Akapitzlist"/>
        <w:numPr>
          <w:ilvl w:val="0"/>
          <w:numId w:val="31"/>
        </w:numPr>
        <w:spacing w:before="60" w:after="60"/>
        <w:ind w:left="714" w:hanging="357"/>
        <w:jc w:val="both"/>
        <w:rPr>
          <w:rFonts w:asciiTheme="minorHAnsi" w:hAnsiTheme="minorHAnsi" w:cstheme="minorHAnsi"/>
          <w:sz w:val="22"/>
          <w:szCs w:val="22"/>
        </w:rPr>
      </w:pPr>
      <w:r w:rsidRPr="00933930">
        <w:rPr>
          <w:rFonts w:asciiTheme="minorHAnsi" w:hAnsiTheme="minorHAnsi" w:cstheme="minorHAnsi"/>
          <w:sz w:val="22"/>
          <w:szCs w:val="22"/>
        </w:rPr>
        <w:t>utrzymanie zasobu na dobrym poziomie technicznym,</w:t>
      </w:r>
    </w:p>
    <w:p w:rsidR="00933930" w:rsidRPr="00933930" w:rsidRDefault="00566FBA" w:rsidP="00E84FFC">
      <w:pPr>
        <w:pStyle w:val="Akapitzlist"/>
        <w:numPr>
          <w:ilvl w:val="0"/>
          <w:numId w:val="31"/>
        </w:numPr>
        <w:spacing w:before="60" w:after="60"/>
        <w:ind w:left="714" w:hanging="357"/>
        <w:jc w:val="both"/>
        <w:rPr>
          <w:rFonts w:asciiTheme="minorHAnsi" w:hAnsiTheme="minorHAnsi" w:cstheme="minorHAnsi"/>
          <w:sz w:val="22"/>
          <w:szCs w:val="22"/>
        </w:rPr>
      </w:pPr>
      <w:r>
        <w:rPr>
          <w:rFonts w:asciiTheme="minorHAnsi" w:hAnsiTheme="minorHAnsi" w:cstheme="minorHAnsi"/>
          <w:sz w:val="22"/>
          <w:szCs w:val="22"/>
        </w:rPr>
        <w:t xml:space="preserve">zaspokojenie niezbędnych </w:t>
      </w:r>
      <w:r w:rsidR="00676F02" w:rsidRPr="00933930">
        <w:rPr>
          <w:rFonts w:asciiTheme="minorHAnsi" w:hAnsiTheme="minorHAnsi" w:cstheme="minorHAnsi"/>
          <w:sz w:val="22"/>
          <w:szCs w:val="22"/>
        </w:rPr>
        <w:t xml:space="preserve">potrzeb mieszkaniowych przez </w:t>
      </w:r>
      <w:r>
        <w:rPr>
          <w:rFonts w:asciiTheme="minorHAnsi" w:hAnsiTheme="minorHAnsi" w:cstheme="minorHAnsi"/>
          <w:sz w:val="22"/>
          <w:szCs w:val="22"/>
        </w:rPr>
        <w:t>Gminę Pobiedziska,</w:t>
      </w:r>
    </w:p>
    <w:p w:rsidR="00676F02" w:rsidRPr="00933930" w:rsidRDefault="00676F02" w:rsidP="00E84FFC">
      <w:pPr>
        <w:pStyle w:val="Akapitzlist"/>
        <w:numPr>
          <w:ilvl w:val="0"/>
          <w:numId w:val="31"/>
        </w:numPr>
        <w:spacing w:before="60" w:after="60"/>
        <w:ind w:left="714" w:hanging="357"/>
        <w:jc w:val="both"/>
        <w:rPr>
          <w:rFonts w:asciiTheme="minorHAnsi" w:hAnsiTheme="minorHAnsi" w:cstheme="minorHAnsi"/>
          <w:sz w:val="22"/>
          <w:szCs w:val="22"/>
        </w:rPr>
      </w:pPr>
      <w:r w:rsidRPr="00933930">
        <w:rPr>
          <w:rFonts w:asciiTheme="minorHAnsi" w:hAnsiTheme="minorHAnsi" w:cstheme="minorHAnsi"/>
          <w:sz w:val="22"/>
          <w:szCs w:val="22"/>
        </w:rPr>
        <w:t>tworzenie warunków do poprawy sytuacji mieszkaniowej mieszkańców.</w:t>
      </w:r>
    </w:p>
    <w:p w:rsidR="00676F02" w:rsidRPr="00742E94" w:rsidRDefault="00742E94" w:rsidP="001333D2">
      <w:pPr>
        <w:spacing w:before="240" w:after="0"/>
        <w:jc w:val="both"/>
        <w:rPr>
          <w:b/>
          <w:color w:val="943634" w:themeColor="accent2" w:themeShade="BF"/>
        </w:rPr>
      </w:pPr>
      <w:r w:rsidRPr="00742E94">
        <w:rPr>
          <w:b/>
          <w:color w:val="943634" w:themeColor="accent2" w:themeShade="BF"/>
        </w:rPr>
        <w:t>„Plan rozwoju komunikacji transportu publicznego-autobusowego gminy Pobiedziska”</w:t>
      </w:r>
      <w:r w:rsidR="001333D2" w:rsidRPr="001333D2">
        <w:t xml:space="preserve"> (dokument opracowany w 2009 r.)</w:t>
      </w:r>
    </w:p>
    <w:p w:rsidR="009C2B26" w:rsidRDefault="004D1448" w:rsidP="00306F0C">
      <w:pPr>
        <w:spacing w:after="0"/>
        <w:jc w:val="both"/>
      </w:pPr>
      <w:r>
        <w:t>Dokument określa, że t</w:t>
      </w:r>
      <w:r w:rsidR="00B769B9" w:rsidRPr="00306F0C">
        <w:t xml:space="preserve">ransport publiczny </w:t>
      </w:r>
      <w:r w:rsidR="001019A8" w:rsidRPr="00306F0C">
        <w:t>stanowić będzie podstawę transportu autobusowego w gminie.</w:t>
      </w:r>
      <w:r w:rsidR="001019A8" w:rsidRPr="00152B6A">
        <w:rPr>
          <w:color w:val="FF0000"/>
        </w:rPr>
        <w:t xml:space="preserve"> </w:t>
      </w:r>
      <w:r>
        <w:t>Powinien on zapewnić</w:t>
      </w:r>
      <w:r w:rsidR="00B769B9">
        <w:t xml:space="preserve"> mieszkańcom gminy dogodnego</w:t>
      </w:r>
      <w:r w:rsidR="009C2B26">
        <w:t xml:space="preserve"> dojazd</w:t>
      </w:r>
      <w:r w:rsidR="00B769B9">
        <w:t>u</w:t>
      </w:r>
      <w:r w:rsidR="009C2B26">
        <w:t xml:space="preserve"> do szkół, miejsc pracy, centrów usługowych, urzędów i miejsc wypoczynku. </w:t>
      </w:r>
      <w:r w:rsidR="009C2B26" w:rsidRPr="00801ACB">
        <w:t>Aby wła</w:t>
      </w:r>
      <w:r w:rsidR="00801ACB">
        <w:t>ściwie realizował swoje zadania</w:t>
      </w:r>
      <w:r w:rsidR="00711AF9">
        <w:t xml:space="preserve"> powinien</w:t>
      </w:r>
      <w:r w:rsidR="009C2B26">
        <w:t xml:space="preserve"> być funkcjonalny i łatwo dostępny dla wszystkich grup społecznych, powinien więc rozwijać następujące kierunki:</w:t>
      </w:r>
    </w:p>
    <w:p w:rsidR="009C2B26" w:rsidRPr="009C2B26" w:rsidRDefault="009C2B26" w:rsidP="00E84FFC">
      <w:pPr>
        <w:pStyle w:val="Akapitzlist"/>
        <w:numPr>
          <w:ilvl w:val="0"/>
          <w:numId w:val="18"/>
        </w:numPr>
        <w:jc w:val="both"/>
        <w:rPr>
          <w:rFonts w:asciiTheme="minorHAnsi" w:hAnsiTheme="minorHAnsi" w:cstheme="minorBidi"/>
          <w:sz w:val="22"/>
        </w:rPr>
      </w:pPr>
      <w:r w:rsidRPr="009C2B26">
        <w:rPr>
          <w:rFonts w:ascii="Calibri" w:hAnsi="Calibri" w:cs="Calibri"/>
          <w:sz w:val="22"/>
        </w:rPr>
        <w:t>szeroko rozumiana dostępność,</w:t>
      </w:r>
    </w:p>
    <w:p w:rsidR="009C2B26" w:rsidRPr="009C2B26" w:rsidRDefault="009C2B26" w:rsidP="00E84FFC">
      <w:pPr>
        <w:pStyle w:val="Akapitzlist"/>
        <w:numPr>
          <w:ilvl w:val="0"/>
          <w:numId w:val="18"/>
        </w:numPr>
        <w:jc w:val="both"/>
        <w:rPr>
          <w:rFonts w:ascii="Calibri" w:hAnsi="Calibri" w:cs="Calibri"/>
          <w:sz w:val="22"/>
        </w:rPr>
      </w:pPr>
      <w:r w:rsidRPr="009C2B26">
        <w:rPr>
          <w:rFonts w:ascii="Calibri" w:hAnsi="Calibri" w:cs="Calibri"/>
          <w:sz w:val="22"/>
        </w:rPr>
        <w:t>priorytet w stosunku do transportu indywidualnego,</w:t>
      </w:r>
    </w:p>
    <w:p w:rsidR="009C2B26" w:rsidRPr="009C2B26" w:rsidRDefault="009C2B26" w:rsidP="00E84FFC">
      <w:pPr>
        <w:pStyle w:val="Akapitzlist"/>
        <w:numPr>
          <w:ilvl w:val="0"/>
          <w:numId w:val="18"/>
        </w:numPr>
        <w:jc w:val="both"/>
        <w:rPr>
          <w:rFonts w:ascii="Calibri" w:hAnsi="Calibri" w:cs="Calibri"/>
          <w:sz w:val="22"/>
        </w:rPr>
      </w:pPr>
      <w:r w:rsidRPr="009C2B26">
        <w:rPr>
          <w:rFonts w:ascii="Calibri" w:hAnsi="Calibri" w:cs="Calibri"/>
          <w:sz w:val="22"/>
        </w:rPr>
        <w:t>integrację różnych systemów transportu publicznego,</w:t>
      </w:r>
    </w:p>
    <w:p w:rsidR="00742E94" w:rsidRPr="009C2B26" w:rsidRDefault="009C2B26" w:rsidP="00E84FFC">
      <w:pPr>
        <w:pStyle w:val="Akapitzlist"/>
        <w:numPr>
          <w:ilvl w:val="0"/>
          <w:numId w:val="18"/>
        </w:numPr>
        <w:jc w:val="both"/>
        <w:rPr>
          <w:sz w:val="22"/>
        </w:rPr>
      </w:pPr>
      <w:r w:rsidRPr="009C2B26">
        <w:rPr>
          <w:rFonts w:ascii="Calibri" w:hAnsi="Calibri" w:cs="Calibri"/>
          <w:sz w:val="22"/>
        </w:rPr>
        <w:t>zmniejszenie uciążliwości dla środowiska.</w:t>
      </w:r>
    </w:p>
    <w:p w:rsidR="004D1448" w:rsidRDefault="004D1448" w:rsidP="004D1448">
      <w:pPr>
        <w:spacing w:after="0"/>
        <w:jc w:val="both"/>
      </w:pPr>
      <w:r w:rsidRPr="004D1448">
        <w:t>Transport zbiorowy w Gminie Pobiedziska wymaga wprowadzenia priorytetu w</w:t>
      </w:r>
      <w:r>
        <w:t xml:space="preserve"> </w:t>
      </w:r>
      <w:r w:rsidRPr="004D1448">
        <w:t>dowozach i odwozach mieszka</w:t>
      </w:r>
      <w:r w:rsidRPr="004D1448">
        <w:rPr>
          <w:rFonts w:hint="eastAsia"/>
        </w:rPr>
        <w:t>ń</w:t>
      </w:r>
      <w:r w:rsidRPr="004D1448">
        <w:t>c</w:t>
      </w:r>
      <w:r w:rsidRPr="004D1448">
        <w:rPr>
          <w:rFonts w:hint="eastAsia"/>
        </w:rPr>
        <w:t>ó</w:t>
      </w:r>
      <w:r w:rsidRPr="004D1448">
        <w:t>w do stacji kolejowych, by sprawniej i szybciej przewie</w:t>
      </w:r>
      <w:r w:rsidRPr="004D1448">
        <w:rPr>
          <w:rFonts w:hint="eastAsia"/>
        </w:rPr>
        <w:t>źć</w:t>
      </w:r>
      <w:r>
        <w:t xml:space="preserve"> </w:t>
      </w:r>
      <w:r w:rsidRPr="004D1448">
        <w:t>pasa</w:t>
      </w:r>
      <w:r w:rsidRPr="004D1448">
        <w:rPr>
          <w:rFonts w:hint="eastAsia"/>
        </w:rPr>
        <w:t>ż</w:t>
      </w:r>
      <w:r w:rsidRPr="004D1448">
        <w:t>er</w:t>
      </w:r>
      <w:r w:rsidRPr="004D1448">
        <w:rPr>
          <w:rFonts w:hint="eastAsia"/>
        </w:rPr>
        <w:t>ó</w:t>
      </w:r>
      <w:r w:rsidRPr="004D1448">
        <w:t>w pomi</w:t>
      </w:r>
      <w:r w:rsidRPr="004D1448">
        <w:rPr>
          <w:rFonts w:hint="eastAsia"/>
        </w:rPr>
        <w:t>ę</w:t>
      </w:r>
      <w:r w:rsidRPr="004D1448">
        <w:t>dzy miejscem zamieszkania a stacj</w:t>
      </w:r>
      <w:r w:rsidRPr="004D1448">
        <w:rPr>
          <w:rFonts w:hint="eastAsia"/>
        </w:rPr>
        <w:t>ą</w:t>
      </w:r>
      <w:r w:rsidRPr="004D1448">
        <w:t xml:space="preserve"> kolejow</w:t>
      </w:r>
      <w:r w:rsidRPr="004D1448">
        <w:rPr>
          <w:rFonts w:hint="eastAsia"/>
        </w:rPr>
        <w:t>ą</w:t>
      </w:r>
      <w:r w:rsidRPr="004D1448">
        <w:t>. Bowiem najwi</w:t>
      </w:r>
      <w:r w:rsidRPr="004D1448">
        <w:rPr>
          <w:rFonts w:hint="eastAsia"/>
        </w:rPr>
        <w:t>ę</w:t>
      </w:r>
      <w:r w:rsidRPr="004D1448">
        <w:t>ksza liczba</w:t>
      </w:r>
      <w:r>
        <w:t xml:space="preserve"> </w:t>
      </w:r>
      <w:r w:rsidRPr="004D1448">
        <w:t>spo</w:t>
      </w:r>
      <w:r w:rsidRPr="004D1448">
        <w:rPr>
          <w:rFonts w:hint="eastAsia"/>
        </w:rPr>
        <w:t>ł</w:t>
      </w:r>
      <w:r w:rsidRPr="004D1448">
        <w:t>eczno</w:t>
      </w:r>
      <w:r w:rsidRPr="004D1448">
        <w:rPr>
          <w:rFonts w:hint="eastAsia"/>
        </w:rPr>
        <w:t>ś</w:t>
      </w:r>
      <w:r w:rsidRPr="004D1448">
        <w:t>ci gminnej korzystaj</w:t>
      </w:r>
      <w:r w:rsidRPr="004D1448">
        <w:rPr>
          <w:rFonts w:hint="eastAsia"/>
        </w:rPr>
        <w:t>ą</w:t>
      </w:r>
      <w:r w:rsidRPr="004D1448">
        <w:t>cej z publicznego transportu korzysta z transportu</w:t>
      </w:r>
      <w:r>
        <w:t xml:space="preserve"> </w:t>
      </w:r>
      <w:r w:rsidRPr="004D1448">
        <w:t>kolejowego.</w:t>
      </w:r>
    </w:p>
    <w:p w:rsidR="005A5452" w:rsidRDefault="005A5452" w:rsidP="004D1448">
      <w:pPr>
        <w:spacing w:after="0"/>
        <w:jc w:val="both"/>
      </w:pPr>
    </w:p>
    <w:p w:rsidR="00C353BD" w:rsidRDefault="00E07640" w:rsidP="009C2B26">
      <w:pPr>
        <w:spacing w:after="0"/>
        <w:jc w:val="both"/>
      </w:pPr>
      <w:r w:rsidRPr="00E07640">
        <w:rPr>
          <w:rFonts w:cs="ACaslonPro-Regular"/>
        </w:rPr>
      </w:r>
      <w:r w:rsidR="00535843" w:rsidRPr="00E07640">
        <w:rPr>
          <w:rFonts w:cs="ACaslonPro-Regular"/>
        </w:rPr>
        <w:pict>
          <v:shape id="_x0000_s1033" type="#_x0000_t185" style="width:96.8pt;height:452.5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33;mso-fit-shape-to-text:t" inset="18pt,18pt,,18pt">
              <w:txbxContent>
                <w:p w:rsidR="00291CA0" w:rsidRPr="00517EE9" w:rsidRDefault="00291CA0" w:rsidP="00400E6B">
                  <w:pPr>
                    <w:spacing w:before="120" w:after="120"/>
                    <w:jc w:val="both"/>
                    <w:rPr>
                      <w:b/>
                      <w:i/>
                      <w:iCs/>
                      <w:color w:val="943634" w:themeColor="accent2" w:themeShade="BF"/>
                    </w:rPr>
                  </w:pPr>
                  <w:r w:rsidRPr="00517EE9">
                    <w:rPr>
                      <w:b/>
                      <w:i/>
                      <w:iCs/>
                      <w:color w:val="943634" w:themeColor="accent2" w:themeShade="BF"/>
                    </w:rPr>
                    <w:t>KONKLUZJE STRATEGICZNE</w:t>
                  </w:r>
                </w:p>
                <w:p w:rsidR="00291CA0" w:rsidRPr="00F40595" w:rsidRDefault="00291CA0" w:rsidP="00400E6B">
                  <w:pPr>
                    <w:spacing w:before="120" w:after="120"/>
                    <w:jc w:val="both"/>
                    <w:rPr>
                      <w:b/>
                      <w:i/>
                      <w:iCs/>
                      <w:color w:val="808080" w:themeColor="background1" w:themeShade="80"/>
                    </w:rPr>
                  </w:pPr>
                  <w:r w:rsidRPr="00400E6B">
                    <w:rPr>
                      <w:b/>
                      <w:i/>
                      <w:iCs/>
                      <w:color w:val="808080" w:themeColor="background1" w:themeShade="80"/>
                    </w:rPr>
                    <w:t>Analiza obowiązujących dokumentów strategicznych została przeprowadzona pod kątem identyfikacji głównych kierunków rozwoju gminy, które powinny być spójne z zapisami tychże dokumentów. Większość analizowanych dokumentów powstała na przestrzeni lat 200</w:t>
                  </w:r>
                  <w:r>
                    <w:rPr>
                      <w:b/>
                      <w:i/>
                      <w:iCs/>
                      <w:color w:val="808080" w:themeColor="background1" w:themeShade="80"/>
                    </w:rPr>
                    <w:t>9</w:t>
                  </w:r>
                  <w:r w:rsidRPr="00400E6B">
                    <w:rPr>
                      <w:b/>
                      <w:i/>
                      <w:iCs/>
                      <w:color w:val="808080" w:themeColor="background1" w:themeShade="80"/>
                    </w:rPr>
                    <w:t>-2011, a więc zawierają najnowsze kierunki, cele i priorytety rozwoju.</w:t>
                  </w:r>
                </w:p>
              </w:txbxContent>
            </v:textbox>
            <w10:wrap type="none" anchorx="margin" anchory="margin"/>
            <w10:anchorlock/>
          </v:shape>
        </w:pict>
      </w:r>
    </w:p>
    <w:p w:rsidR="00C353BD" w:rsidRPr="00676F02" w:rsidRDefault="00C353BD" w:rsidP="009C2B26">
      <w:pPr>
        <w:spacing w:after="0"/>
        <w:jc w:val="both"/>
      </w:pPr>
    </w:p>
    <w:p w:rsidR="00606333" w:rsidRPr="00AE3A7B" w:rsidRDefault="00E37D20" w:rsidP="00E37D20">
      <w:pPr>
        <w:pStyle w:val="Nagwek2"/>
        <w:rPr>
          <w:rFonts w:asciiTheme="minorHAnsi" w:hAnsiTheme="minorHAnsi" w:cstheme="minorHAnsi"/>
          <w:color w:val="943634" w:themeColor="accent2" w:themeShade="BF"/>
        </w:rPr>
      </w:pPr>
      <w:bookmarkStart w:id="29" w:name="_Toc321135345"/>
      <w:r w:rsidRPr="00AE3A7B">
        <w:rPr>
          <w:rFonts w:asciiTheme="minorHAnsi" w:hAnsiTheme="minorHAnsi" w:cstheme="minorHAnsi"/>
          <w:color w:val="943634" w:themeColor="accent2" w:themeShade="BF"/>
        </w:rPr>
        <w:t>6.2 Regionalne i krajowe dokumenty strategiczne</w:t>
      </w:r>
      <w:bookmarkEnd w:id="29"/>
    </w:p>
    <w:p w:rsidR="00C353BD" w:rsidRDefault="00C353BD" w:rsidP="00C353BD">
      <w:pPr>
        <w:jc w:val="both"/>
        <w:rPr>
          <w:rFonts w:ascii="Calibri" w:hAnsi="Calibri"/>
        </w:rPr>
      </w:pPr>
      <w:r w:rsidRPr="00655AFD">
        <w:rPr>
          <w:rFonts w:ascii="Calibri" w:hAnsi="Calibri"/>
        </w:rPr>
        <w:t xml:space="preserve">Cele które będą określane powinny być brane pod uwagę podczas definiowania celów strategicznych dla </w:t>
      </w:r>
      <w:r>
        <w:rPr>
          <w:rFonts w:ascii="Calibri" w:hAnsi="Calibri"/>
        </w:rPr>
        <w:t>Pobiedzisk</w:t>
      </w:r>
      <w:r w:rsidRPr="00655AFD">
        <w:rPr>
          <w:rFonts w:ascii="Calibri" w:hAnsi="Calibri"/>
        </w:rPr>
        <w:t xml:space="preserve"> z uwzględnieniem specyfiki gminy, dlatego poniżej zaprezentowano przegląd podstawowych dokumentów strategicznych ze wskazaniem podstawowych ich założeń.</w:t>
      </w:r>
    </w:p>
    <w:p w:rsidR="004B66CF" w:rsidRPr="00CD0E70" w:rsidRDefault="004B66CF" w:rsidP="004B66CF">
      <w:pPr>
        <w:spacing w:before="240" w:after="0"/>
        <w:rPr>
          <w:b/>
          <w:color w:val="943634" w:themeColor="accent2" w:themeShade="BF"/>
        </w:rPr>
      </w:pPr>
      <w:r w:rsidRPr="00CD0E70">
        <w:rPr>
          <w:b/>
          <w:color w:val="943634" w:themeColor="accent2" w:themeShade="BF"/>
        </w:rPr>
        <w:t>„Strategia rozwoju powiatu poznańskiego na lata 2006-2013”</w:t>
      </w:r>
      <w:r>
        <w:rPr>
          <w:b/>
          <w:color w:val="943634" w:themeColor="accent2" w:themeShade="BF"/>
        </w:rPr>
        <w:t xml:space="preserve"> </w:t>
      </w:r>
      <w:r w:rsidRPr="004B66CF">
        <w:t>(uchwalony 31 stycznia 2006 r.)</w:t>
      </w:r>
    </w:p>
    <w:p w:rsidR="004B66CF" w:rsidRDefault="004B66CF" w:rsidP="004B66CF">
      <w:pPr>
        <w:spacing w:after="60"/>
        <w:jc w:val="both"/>
      </w:pPr>
      <w:r w:rsidRPr="00826100">
        <w:t>W dokumencie określono misję i wizję rozwoju powiatu poznańskiego. Misją samorządu jest rozwijanie potencjału powiatu dla dobra jego mieszkańców, dbając o środowisko naturalne w myśl zasad zrównoważonego rozwoju, natomiast wiz</w:t>
      </w:r>
      <w:r>
        <w:t>ję rozwoju przyjęto w zapisie: „</w:t>
      </w:r>
      <w:r w:rsidRPr="00826100">
        <w:t xml:space="preserve">Powiat poznański, tworząc z miastem Poznaniem aglomerację poznańską, rozwija się bardzo dynamicznie zgodnie </w:t>
      </w:r>
      <w:r>
        <w:br/>
      </w:r>
      <w:r w:rsidRPr="00826100">
        <w:t>z zasadami zrównoważonego rozwoju. Stopa bezrobocia spada, a mieszkańcy powiatu mają łatwy dostęp do pracy, edukacji, miejsc wypoczynku, kultury i opieki zdrowotnej. Duża liczba mieszkańców powiatu nie stwarza zagrożenia dla środowiska naturalnego, lecz pozytywnie oddziałuje na rozwój sz</w:t>
      </w:r>
      <w:r>
        <w:t>kolnictwa i usług komercyjnych”.</w:t>
      </w:r>
    </w:p>
    <w:p w:rsidR="004B66CF" w:rsidRDefault="004B66CF" w:rsidP="004B66CF">
      <w:pPr>
        <w:spacing w:before="60" w:after="60"/>
        <w:jc w:val="both"/>
      </w:pPr>
      <w:r>
        <w:t>W Strategii wyszczególnione zostały cztery cele strategiczne, które osiągane będą m.in. poprzez realizację celów operacyjnych:</w:t>
      </w:r>
    </w:p>
    <w:p w:rsidR="004B66CF" w:rsidRDefault="004B66CF" w:rsidP="009904A4">
      <w:pPr>
        <w:spacing w:after="0"/>
        <w:jc w:val="both"/>
      </w:pPr>
      <w:r>
        <w:t>I. Kształtowanie przestrzeni podwyższającej jakość życia oraz wspieranie rozwoju gospodarczego powiatu</w:t>
      </w:r>
    </w:p>
    <w:p w:rsidR="004B66CF" w:rsidRDefault="004B66CF" w:rsidP="009904A4">
      <w:pPr>
        <w:spacing w:after="0"/>
        <w:ind w:left="567"/>
        <w:jc w:val="both"/>
      </w:pPr>
      <w:r>
        <w:t>1. Rozwój systemu komunikacji drogowej</w:t>
      </w:r>
    </w:p>
    <w:p w:rsidR="004B66CF" w:rsidRDefault="004B66CF" w:rsidP="009904A4">
      <w:pPr>
        <w:spacing w:after="0"/>
        <w:ind w:left="567"/>
        <w:jc w:val="both"/>
      </w:pPr>
      <w:r>
        <w:t>2. Poprawa stanu środowiska naturalnego</w:t>
      </w:r>
    </w:p>
    <w:p w:rsidR="004B66CF" w:rsidRDefault="004B66CF" w:rsidP="009904A4">
      <w:pPr>
        <w:spacing w:after="0"/>
        <w:ind w:left="567"/>
        <w:jc w:val="both"/>
      </w:pPr>
      <w:r>
        <w:t>3. Rozwój przedsiębiorczości w powiecie - tworzenie platformy współpracy z przedsiębiorcami</w:t>
      </w:r>
    </w:p>
    <w:p w:rsidR="004B66CF" w:rsidRDefault="004B66CF" w:rsidP="009904A4">
      <w:pPr>
        <w:spacing w:after="0"/>
        <w:ind w:left="567"/>
        <w:jc w:val="both"/>
      </w:pPr>
      <w:r>
        <w:t>4. Poprawa i rozwój usług publicznych</w:t>
      </w:r>
    </w:p>
    <w:p w:rsidR="004B66CF" w:rsidRDefault="004B66CF" w:rsidP="009904A4">
      <w:pPr>
        <w:spacing w:after="0"/>
        <w:jc w:val="both"/>
      </w:pPr>
      <w:r>
        <w:t>II. Wzrost poziomu wykształcenia mieszkańców oraz dostosowania ich kwalifikacji i kompetencji do potrzeb rynku pracy w aglomeracji poznańskiej</w:t>
      </w:r>
    </w:p>
    <w:p w:rsidR="004B66CF" w:rsidRDefault="004B66CF" w:rsidP="009904A4">
      <w:pPr>
        <w:spacing w:after="0"/>
        <w:ind w:left="567"/>
        <w:jc w:val="both"/>
      </w:pPr>
      <w:r>
        <w:t>1. Rozwój systemu oświaty w powiecie</w:t>
      </w:r>
    </w:p>
    <w:p w:rsidR="004B66CF" w:rsidRDefault="004B66CF" w:rsidP="009904A4">
      <w:pPr>
        <w:spacing w:after="0"/>
        <w:ind w:left="567"/>
        <w:jc w:val="both"/>
      </w:pPr>
      <w:r>
        <w:t>2. Promocja zatrudnienia, ograniczenie zjawiska wysokiego poziomu bezrobocia i eliminacja jego negatywnych skutków</w:t>
      </w:r>
    </w:p>
    <w:p w:rsidR="004B66CF" w:rsidRDefault="004B66CF" w:rsidP="009904A4">
      <w:pPr>
        <w:spacing w:after="0"/>
        <w:jc w:val="both"/>
      </w:pPr>
      <w:r>
        <w:t>III. Wzrost integracji społecznej, poprawa zdrowotności i bezpieczeństwa publicznego mieszkańców</w:t>
      </w:r>
    </w:p>
    <w:p w:rsidR="004B66CF" w:rsidRDefault="004B66CF" w:rsidP="009904A4">
      <w:pPr>
        <w:spacing w:after="0"/>
        <w:ind w:left="567"/>
        <w:jc w:val="both"/>
      </w:pPr>
      <w:r>
        <w:t>1. Wzrost spójności i wzmocnienie integracji społecznej</w:t>
      </w:r>
    </w:p>
    <w:p w:rsidR="004B66CF" w:rsidRDefault="004B66CF" w:rsidP="009904A4">
      <w:pPr>
        <w:spacing w:after="0"/>
        <w:ind w:left="567"/>
        <w:jc w:val="both"/>
      </w:pPr>
      <w:r>
        <w:t>2. Poprawa stanu zdrowia mieszkańców powiatu-rozwój systemu opieki zdrowotnej</w:t>
      </w:r>
    </w:p>
    <w:p w:rsidR="004B66CF" w:rsidRDefault="004B66CF" w:rsidP="009904A4">
      <w:pPr>
        <w:spacing w:after="0"/>
        <w:ind w:left="567"/>
        <w:jc w:val="both"/>
      </w:pPr>
      <w:r>
        <w:t>3. Podwyższenie stanu i poczucia bezpieczeństwa w powiecie</w:t>
      </w:r>
    </w:p>
    <w:p w:rsidR="004B66CF" w:rsidRDefault="004B66CF" w:rsidP="009904A4">
      <w:pPr>
        <w:spacing w:after="0"/>
        <w:ind w:left="567"/>
        <w:jc w:val="both"/>
      </w:pPr>
      <w:r>
        <w:t>4. Rozwój społeczeństwa obywatelskiego</w:t>
      </w:r>
    </w:p>
    <w:p w:rsidR="004B66CF" w:rsidRDefault="004B66CF" w:rsidP="009904A4">
      <w:pPr>
        <w:spacing w:after="0"/>
        <w:jc w:val="both"/>
      </w:pPr>
      <w:r>
        <w:t>IV. Zwiększanie efektywności wykorzystania walorów przyrodniczych i potencjału kulturowego</w:t>
      </w:r>
    </w:p>
    <w:p w:rsidR="004B66CF" w:rsidRDefault="004B66CF" w:rsidP="009904A4">
      <w:pPr>
        <w:spacing w:after="0"/>
        <w:ind w:left="567"/>
        <w:jc w:val="both"/>
      </w:pPr>
      <w:r>
        <w:t>1. Rozwój potencjału turystycznego powiatu</w:t>
      </w:r>
    </w:p>
    <w:p w:rsidR="004B66CF" w:rsidRDefault="004B66CF" w:rsidP="009904A4">
      <w:pPr>
        <w:spacing w:after="0"/>
        <w:ind w:left="567"/>
        <w:jc w:val="both"/>
      </w:pPr>
      <w:r>
        <w:lastRenderedPageBreak/>
        <w:t>2. Rozwój działalności kulturalnej i sportowo-rekreacyjnej</w:t>
      </w:r>
    </w:p>
    <w:p w:rsidR="004B66CF" w:rsidRPr="00655AFD" w:rsidRDefault="004B66CF" w:rsidP="009904A4">
      <w:pPr>
        <w:spacing w:after="0"/>
        <w:jc w:val="both"/>
        <w:rPr>
          <w:rFonts w:ascii="Calibri" w:hAnsi="Calibri"/>
        </w:rPr>
      </w:pPr>
    </w:p>
    <w:p w:rsidR="00C353BD" w:rsidRDefault="000D6195" w:rsidP="009904A4">
      <w:pPr>
        <w:spacing w:after="0"/>
        <w:jc w:val="both"/>
        <w:rPr>
          <w:rFonts w:cs="Helvetica"/>
          <w:b/>
          <w:color w:val="943634" w:themeColor="accent2" w:themeShade="BF"/>
          <w:szCs w:val="20"/>
        </w:rPr>
      </w:pPr>
      <w:r>
        <w:rPr>
          <w:rFonts w:cs="Helvetica"/>
          <w:b/>
          <w:color w:val="943634" w:themeColor="accent2" w:themeShade="BF"/>
          <w:szCs w:val="20"/>
        </w:rPr>
        <w:t>Strategia Rozwoju Aglomeracji Poznańskiej</w:t>
      </w:r>
      <w:r w:rsidR="004908F2" w:rsidRPr="004908F2">
        <w:rPr>
          <w:rFonts w:cs="Helvetica"/>
          <w:b/>
          <w:color w:val="943634" w:themeColor="accent2" w:themeShade="BF"/>
          <w:szCs w:val="20"/>
        </w:rPr>
        <w:t xml:space="preserve"> </w:t>
      </w:r>
      <w:r w:rsidR="004908F2">
        <w:rPr>
          <w:rFonts w:cs="Helvetica"/>
          <w:b/>
          <w:color w:val="943634" w:themeColor="accent2" w:themeShade="BF"/>
          <w:szCs w:val="20"/>
        </w:rPr>
        <w:t>- Metropolia Poznań 2020</w:t>
      </w:r>
      <w:r w:rsidR="00907707">
        <w:rPr>
          <w:rFonts w:cs="Helvetica"/>
          <w:b/>
          <w:color w:val="943634" w:themeColor="accent2" w:themeShade="BF"/>
          <w:szCs w:val="20"/>
        </w:rPr>
        <w:t xml:space="preserve"> </w:t>
      </w:r>
      <w:r w:rsidR="00907707" w:rsidRPr="00907707">
        <w:rPr>
          <w:rFonts w:cs="Helvetica"/>
          <w:szCs w:val="20"/>
        </w:rPr>
        <w:t>(opracowana w maju 2011 r.)</w:t>
      </w:r>
    </w:p>
    <w:p w:rsidR="000D6195" w:rsidRDefault="004908F2" w:rsidP="004908F2">
      <w:pPr>
        <w:spacing w:after="0"/>
        <w:jc w:val="both"/>
        <w:rPr>
          <w:rFonts w:cstheme="minorHAnsi"/>
        </w:rPr>
      </w:pPr>
      <w:r>
        <w:rPr>
          <w:rFonts w:cstheme="minorHAnsi"/>
        </w:rPr>
        <w:t>Dokument pr</w:t>
      </w:r>
      <w:r w:rsidRPr="004908F2">
        <w:rPr>
          <w:rFonts w:cstheme="minorHAnsi"/>
        </w:rPr>
        <w:t>zedstawia</w:t>
      </w:r>
      <w:r>
        <w:rPr>
          <w:rFonts w:cstheme="minorHAnsi"/>
        </w:rPr>
        <w:t xml:space="preserve"> wspólną perspektywę rozwojową</w:t>
      </w:r>
      <w:r w:rsidRPr="004908F2">
        <w:rPr>
          <w:rFonts w:cstheme="minorHAnsi"/>
        </w:rPr>
        <w:t xml:space="preserve"> dla jednostek</w:t>
      </w:r>
      <w:r>
        <w:rPr>
          <w:rFonts w:cstheme="minorHAnsi"/>
        </w:rPr>
        <w:t xml:space="preserve"> samorządowych współ</w:t>
      </w:r>
      <w:r w:rsidRPr="004908F2">
        <w:rPr>
          <w:rFonts w:cstheme="minorHAnsi"/>
        </w:rPr>
        <w:t>pr</w:t>
      </w:r>
      <w:r>
        <w:rPr>
          <w:rFonts w:cstheme="minorHAnsi"/>
        </w:rPr>
        <w:t>acują</w:t>
      </w:r>
      <w:r w:rsidRPr="004908F2">
        <w:rPr>
          <w:rFonts w:cstheme="minorHAnsi"/>
        </w:rPr>
        <w:t>cych w ramach</w:t>
      </w:r>
      <w:r>
        <w:rPr>
          <w:rFonts w:cstheme="minorHAnsi"/>
        </w:rPr>
        <w:t xml:space="preserve"> Rady Aglomeracji Poznań</w:t>
      </w:r>
      <w:r w:rsidRPr="004908F2">
        <w:rPr>
          <w:rFonts w:cstheme="minorHAnsi"/>
        </w:rPr>
        <w:t>skiej.</w:t>
      </w:r>
      <w:r>
        <w:rPr>
          <w:rFonts w:cstheme="minorHAnsi"/>
        </w:rPr>
        <w:t xml:space="preserve"> W strategii za priorytetowe dla dalszego rozwoju aglomeracji poznańskiej uznano 5 osi strategicznych:</w:t>
      </w:r>
    </w:p>
    <w:p w:rsidR="004908F2" w:rsidRPr="00F314C8" w:rsidRDefault="004908F2" w:rsidP="00F314C8">
      <w:pPr>
        <w:pStyle w:val="Akapitzlist"/>
        <w:numPr>
          <w:ilvl w:val="0"/>
          <w:numId w:val="40"/>
        </w:numPr>
        <w:ind w:left="426" w:hanging="284"/>
        <w:jc w:val="both"/>
        <w:rPr>
          <w:rFonts w:asciiTheme="minorHAnsi" w:hAnsiTheme="minorHAnsi" w:cstheme="minorHAnsi"/>
          <w:sz w:val="22"/>
          <w:szCs w:val="22"/>
        </w:rPr>
      </w:pPr>
      <w:r w:rsidRPr="00F314C8">
        <w:rPr>
          <w:rFonts w:asciiTheme="minorHAnsi" w:hAnsiTheme="minorHAnsi" w:cstheme="minorHAnsi"/>
          <w:sz w:val="22"/>
          <w:szCs w:val="22"/>
        </w:rPr>
        <w:t>Gospodarka przestrzenna i środowisko</w:t>
      </w:r>
      <w:r w:rsidR="00F314C8" w:rsidRPr="00F314C8">
        <w:rPr>
          <w:rFonts w:asciiTheme="minorHAnsi" w:hAnsiTheme="minorHAnsi" w:cstheme="minorHAnsi"/>
          <w:sz w:val="22"/>
          <w:szCs w:val="22"/>
        </w:rPr>
        <w:t>: kształtowanie ładu przestrzennego w metropolii, zgodnie z zasadami zrównoważonego rozwoju, racjonalne zagospodarowywanie przestrzeni stosownie do europejskich norm środowiskowych, krajobrazowych i urbanistycznych oraz w zgodzie z potrzebami mieszkaniowymi, produkcyjnymi i wypoczynkowymi obecnych i przyszłych pokoleń mieszkańców metropolii.</w:t>
      </w:r>
    </w:p>
    <w:p w:rsidR="004908F2" w:rsidRPr="00F314C8" w:rsidRDefault="004908F2" w:rsidP="00F314C8">
      <w:pPr>
        <w:pStyle w:val="Akapitzlist"/>
        <w:numPr>
          <w:ilvl w:val="0"/>
          <w:numId w:val="40"/>
        </w:numPr>
        <w:ind w:left="426" w:hanging="284"/>
        <w:jc w:val="both"/>
        <w:rPr>
          <w:rFonts w:asciiTheme="minorHAnsi" w:hAnsiTheme="minorHAnsi" w:cstheme="minorHAnsi"/>
          <w:sz w:val="22"/>
          <w:szCs w:val="22"/>
        </w:rPr>
      </w:pPr>
      <w:r w:rsidRPr="00F314C8">
        <w:rPr>
          <w:rFonts w:asciiTheme="minorHAnsi" w:hAnsiTheme="minorHAnsi" w:cstheme="minorHAnsi"/>
          <w:sz w:val="22"/>
          <w:szCs w:val="22"/>
        </w:rPr>
        <w:t>Infrastruktura i organizacja transportu</w:t>
      </w:r>
      <w:r w:rsidR="00F314C8" w:rsidRPr="00F314C8">
        <w:rPr>
          <w:rFonts w:asciiTheme="minorHAnsi" w:hAnsiTheme="minorHAnsi" w:cstheme="minorHAnsi"/>
          <w:sz w:val="22"/>
          <w:szCs w:val="22"/>
        </w:rPr>
        <w:t>: rozbudowa i modernizacja infrastruktury komunikacyjnej metropolii w celu zwiększania jej dostępności w skali krajowej i międzynarodowej oraz zapewnienia wewnętrznej spójności transportowej metropolii, z preferencją dla rozwoju zintegrowanej komunikacji publicznej.</w:t>
      </w:r>
    </w:p>
    <w:p w:rsidR="004908F2" w:rsidRPr="00F314C8" w:rsidRDefault="004908F2" w:rsidP="00F314C8">
      <w:pPr>
        <w:pStyle w:val="Akapitzlist"/>
        <w:numPr>
          <w:ilvl w:val="0"/>
          <w:numId w:val="40"/>
        </w:numPr>
        <w:ind w:left="426" w:hanging="284"/>
        <w:jc w:val="both"/>
        <w:rPr>
          <w:rFonts w:asciiTheme="minorHAnsi" w:hAnsiTheme="minorHAnsi" w:cstheme="minorHAnsi"/>
          <w:sz w:val="22"/>
          <w:szCs w:val="22"/>
        </w:rPr>
      </w:pPr>
      <w:r w:rsidRPr="00F314C8">
        <w:rPr>
          <w:rFonts w:asciiTheme="minorHAnsi" w:hAnsiTheme="minorHAnsi" w:cstheme="minorHAnsi"/>
          <w:sz w:val="22"/>
          <w:szCs w:val="22"/>
        </w:rPr>
        <w:t>Gospodarka i rynek pracy</w:t>
      </w:r>
      <w:r w:rsidR="00F314C8" w:rsidRPr="00F314C8">
        <w:rPr>
          <w:rFonts w:asciiTheme="minorHAnsi" w:hAnsiTheme="minorHAnsi" w:cstheme="minorHAnsi"/>
          <w:sz w:val="22"/>
          <w:szCs w:val="22"/>
        </w:rPr>
        <w:t>: wspieranie rozwoju gospodarczego, którego celem jest wzrost konkurencyjności metropolii jako miejsca dobrych inwestycji, rozwój sektora innowacyjnego, tworzenie sieci współpracy podmiotów gospodarczych w metropolii w oparciu o rozwinięty rynek pracy i jego silne powiązania z lokalnym potencjałem edukacyjnym i naukowym.</w:t>
      </w:r>
    </w:p>
    <w:p w:rsidR="004908F2" w:rsidRPr="00F314C8" w:rsidRDefault="004908F2" w:rsidP="00F314C8">
      <w:pPr>
        <w:pStyle w:val="Akapitzlist"/>
        <w:numPr>
          <w:ilvl w:val="0"/>
          <w:numId w:val="40"/>
        </w:numPr>
        <w:ind w:left="426" w:hanging="284"/>
        <w:jc w:val="both"/>
        <w:rPr>
          <w:rFonts w:asciiTheme="minorHAnsi" w:hAnsiTheme="minorHAnsi" w:cstheme="minorHAnsi"/>
          <w:sz w:val="22"/>
          <w:szCs w:val="22"/>
        </w:rPr>
      </w:pPr>
      <w:r w:rsidRPr="00F314C8">
        <w:rPr>
          <w:rFonts w:asciiTheme="minorHAnsi" w:hAnsiTheme="minorHAnsi" w:cstheme="minorHAnsi"/>
          <w:sz w:val="22"/>
          <w:szCs w:val="22"/>
        </w:rPr>
        <w:t>Usługi społeczne</w:t>
      </w:r>
      <w:r w:rsidR="00F314C8" w:rsidRPr="00F314C8">
        <w:rPr>
          <w:rFonts w:asciiTheme="minorHAnsi" w:hAnsiTheme="minorHAnsi" w:cstheme="minorHAnsi"/>
          <w:sz w:val="22"/>
          <w:szCs w:val="22"/>
        </w:rPr>
        <w:t>: tworzenie przyjaznych mieszkańcom usług społecznych, zintegrowanych tematycznie, gwarantujących dobrą dostępność przestrzenną i ekonomiczną, w atrakcyjnej formule, zachęcającej mieszkańców oraz osoby odwiedzające metropolię do korzystania z nich.</w:t>
      </w:r>
    </w:p>
    <w:p w:rsidR="004908F2" w:rsidRPr="00F314C8" w:rsidRDefault="004908F2" w:rsidP="00F314C8">
      <w:pPr>
        <w:pStyle w:val="Akapitzlist"/>
        <w:numPr>
          <w:ilvl w:val="0"/>
          <w:numId w:val="40"/>
        </w:numPr>
        <w:ind w:left="426" w:hanging="284"/>
        <w:jc w:val="both"/>
        <w:rPr>
          <w:rFonts w:asciiTheme="minorHAnsi" w:hAnsiTheme="minorHAnsi" w:cstheme="minorHAnsi"/>
          <w:sz w:val="22"/>
          <w:szCs w:val="22"/>
        </w:rPr>
      </w:pPr>
      <w:r w:rsidRPr="00F314C8">
        <w:rPr>
          <w:rFonts w:asciiTheme="minorHAnsi" w:hAnsiTheme="minorHAnsi" w:cstheme="minorHAnsi"/>
          <w:sz w:val="22"/>
          <w:szCs w:val="22"/>
        </w:rPr>
        <w:t>Zintegrowane zarządzanie i marketing terytorialny</w:t>
      </w:r>
      <w:r w:rsidR="00F314C8" w:rsidRPr="00F314C8">
        <w:rPr>
          <w:rFonts w:asciiTheme="minorHAnsi" w:hAnsiTheme="minorHAnsi" w:cstheme="minorHAnsi"/>
          <w:sz w:val="22"/>
          <w:szCs w:val="22"/>
        </w:rPr>
        <w:t>: budowa form współpracy i sprawnego zarządzania w metropolii z udziałem samorządów oraz innych instytucji publicznych i komercyjnych.</w:t>
      </w:r>
    </w:p>
    <w:p w:rsidR="004908F2" w:rsidRPr="000D6195" w:rsidRDefault="004908F2" w:rsidP="00FB57B5">
      <w:pPr>
        <w:spacing w:after="0"/>
        <w:jc w:val="both"/>
        <w:rPr>
          <w:rFonts w:cstheme="minorHAnsi"/>
        </w:rPr>
      </w:pPr>
    </w:p>
    <w:p w:rsidR="00FB57B5" w:rsidRPr="00597BF5" w:rsidRDefault="00606333" w:rsidP="00FB57B5">
      <w:pPr>
        <w:spacing w:after="0"/>
        <w:jc w:val="both"/>
        <w:rPr>
          <w:rFonts w:cs="Helvetica"/>
          <w:szCs w:val="20"/>
        </w:rPr>
      </w:pPr>
      <w:r w:rsidRPr="00CD0E70">
        <w:rPr>
          <w:rFonts w:cs="Helvetica"/>
          <w:b/>
          <w:color w:val="943634" w:themeColor="accent2" w:themeShade="BF"/>
          <w:szCs w:val="20"/>
        </w:rPr>
        <w:t>„Strategia Rozwoju Województwa Wielkopolskieg</w:t>
      </w:r>
      <w:r w:rsidR="00417244" w:rsidRPr="00CD0E70">
        <w:rPr>
          <w:rFonts w:cs="Helvetica"/>
          <w:b/>
          <w:color w:val="943634" w:themeColor="accent2" w:themeShade="BF"/>
          <w:szCs w:val="20"/>
        </w:rPr>
        <w:t>o do 2020 roku”</w:t>
      </w:r>
    </w:p>
    <w:p w:rsidR="00FB57B5" w:rsidRPr="00FB57B5" w:rsidRDefault="00FB57B5" w:rsidP="00FB57B5">
      <w:pPr>
        <w:spacing w:after="0"/>
        <w:jc w:val="both"/>
        <w:rPr>
          <w:rFonts w:cstheme="minorHAnsi"/>
        </w:rPr>
      </w:pPr>
      <w:r w:rsidRPr="00AA43BD">
        <w:rPr>
          <w:rFonts w:cstheme="minorHAnsi"/>
        </w:rPr>
        <w:t>Dokument został opracowany przez Urząd Marszałkowski Województwa Wielkopolskiego, a przyjęty przez Sejmik Województwa Wielkopolskiego 19 grudnia 2005 r. Strategia określa uwarunkowania, cele i kierunki rozwoju województwa. Ustalenia zawarte w dokumencie stanowią podstawę do sporządzenia planu zagospodarowania przestrzennego województwa, przez co mają bezpośredni wpływ na zachowanie i poprawę krajobrazu kulturowego.</w:t>
      </w:r>
    </w:p>
    <w:p w:rsidR="00FB57B5" w:rsidRPr="00FB57B5" w:rsidRDefault="00FB57B5" w:rsidP="00FB57B5">
      <w:pPr>
        <w:spacing w:after="0"/>
        <w:jc w:val="both"/>
        <w:rPr>
          <w:rFonts w:cs="Helvetica"/>
          <w:szCs w:val="20"/>
        </w:rPr>
      </w:pPr>
      <w:r w:rsidRPr="00FB57B5">
        <w:rPr>
          <w:rFonts w:cs="Helvetica"/>
          <w:szCs w:val="20"/>
        </w:rPr>
        <w:t xml:space="preserve">Celem głównym „Strategii rozwoju województwa wielkopolskiego” jest: Poprawa jakości przestrzeni województwa, systemu edukacji, rynku pracy, gospodarki oraz sfery społecznej skutkująca wzrostem poziomu życia mieszkańców. </w:t>
      </w:r>
      <w:r w:rsidR="00AF492E">
        <w:rPr>
          <w:rFonts w:cs="Helvetica"/>
          <w:szCs w:val="20"/>
        </w:rPr>
        <w:t>Cel ten m</w:t>
      </w:r>
      <w:r w:rsidRPr="00FB57B5">
        <w:rPr>
          <w:rFonts w:cs="Helvetica"/>
          <w:szCs w:val="20"/>
        </w:rPr>
        <w:t xml:space="preserve">a zostać zrealizowany przy pomocy celów strategicznych </w:t>
      </w:r>
      <w:r w:rsidR="00C56D36">
        <w:rPr>
          <w:rFonts w:cs="Helvetica"/>
          <w:szCs w:val="20"/>
        </w:rPr>
        <w:br/>
      </w:r>
      <w:r w:rsidRPr="00FB57B5">
        <w:rPr>
          <w:rFonts w:cs="Helvetica"/>
          <w:szCs w:val="20"/>
        </w:rPr>
        <w:t>i operacyjnych. Cele strategiczne zostały zdefiniowane następująco:</w:t>
      </w:r>
    </w:p>
    <w:p w:rsidR="00933930" w:rsidRPr="0022325D" w:rsidRDefault="00FB57B5" w:rsidP="009904A4">
      <w:pPr>
        <w:pStyle w:val="Akapitzlist"/>
        <w:numPr>
          <w:ilvl w:val="0"/>
          <w:numId w:val="39"/>
        </w:numPr>
        <w:spacing w:line="276" w:lineRule="auto"/>
        <w:jc w:val="both"/>
        <w:rPr>
          <w:rFonts w:asciiTheme="minorHAnsi" w:hAnsiTheme="minorHAnsi" w:cstheme="minorHAnsi"/>
          <w:sz w:val="22"/>
        </w:rPr>
      </w:pPr>
      <w:r w:rsidRPr="0022325D">
        <w:rPr>
          <w:rFonts w:asciiTheme="minorHAnsi" w:hAnsiTheme="minorHAnsi" w:cstheme="minorHAnsi"/>
          <w:sz w:val="22"/>
        </w:rPr>
        <w:t xml:space="preserve">Dostosowanie </w:t>
      </w:r>
      <w:r w:rsidR="00F27620" w:rsidRPr="0022325D">
        <w:rPr>
          <w:rFonts w:asciiTheme="minorHAnsi" w:hAnsiTheme="minorHAnsi" w:cstheme="minorHAnsi"/>
          <w:sz w:val="22"/>
        </w:rPr>
        <w:t>przestrzeni do wyzwań XXI wieku</w:t>
      </w:r>
    </w:p>
    <w:p w:rsidR="00F27620" w:rsidRPr="00F27620" w:rsidRDefault="00F27620" w:rsidP="009904A4">
      <w:pPr>
        <w:spacing w:after="0"/>
        <w:jc w:val="both"/>
        <w:rPr>
          <w:rFonts w:cstheme="minorHAnsi"/>
        </w:rPr>
      </w:pPr>
      <w:r w:rsidRPr="00F27620">
        <w:rPr>
          <w:rFonts w:cstheme="minorHAnsi"/>
        </w:rPr>
        <w:t>Cel operacyjny 1.1. Poprawa stanu środowiska i racjonalne gospodarowanie</w:t>
      </w:r>
      <w:r w:rsidR="0022325D">
        <w:rPr>
          <w:rFonts w:cstheme="minorHAnsi"/>
        </w:rPr>
        <w:t xml:space="preserve"> </w:t>
      </w:r>
      <w:r w:rsidRPr="00F27620">
        <w:rPr>
          <w:rFonts w:cstheme="minorHAnsi"/>
        </w:rPr>
        <w:t>zasobami przyrodniczymi</w:t>
      </w:r>
    </w:p>
    <w:p w:rsidR="00F27620" w:rsidRPr="00F27620" w:rsidRDefault="00F27620" w:rsidP="009904A4">
      <w:pPr>
        <w:spacing w:after="0"/>
        <w:jc w:val="both"/>
        <w:rPr>
          <w:rFonts w:cstheme="minorHAnsi"/>
        </w:rPr>
      </w:pPr>
      <w:r w:rsidRPr="00F27620">
        <w:rPr>
          <w:rFonts w:cstheme="minorHAnsi"/>
        </w:rPr>
        <w:t>Cel operacyjny 1.2. Wzrost spójności komunikacyjnej oraz powiązań z</w:t>
      </w:r>
      <w:r w:rsidR="0022325D">
        <w:rPr>
          <w:rFonts w:cstheme="minorHAnsi"/>
        </w:rPr>
        <w:t xml:space="preserve"> </w:t>
      </w:r>
      <w:r w:rsidRPr="00F27620">
        <w:rPr>
          <w:rFonts w:cstheme="minorHAnsi"/>
        </w:rPr>
        <w:t>otoczeniem</w:t>
      </w:r>
    </w:p>
    <w:p w:rsidR="00F27620" w:rsidRPr="00F27620" w:rsidRDefault="00F27620" w:rsidP="009904A4">
      <w:pPr>
        <w:spacing w:after="0"/>
        <w:jc w:val="both"/>
        <w:rPr>
          <w:rFonts w:cstheme="minorHAnsi"/>
        </w:rPr>
      </w:pPr>
      <w:r w:rsidRPr="00F27620">
        <w:rPr>
          <w:rFonts w:cstheme="minorHAnsi"/>
        </w:rPr>
        <w:t>Cel operacyjny 1.3. Wzrost znaczenia i zachowanie dziedzictwa kulturowego</w:t>
      </w:r>
    </w:p>
    <w:p w:rsidR="00F27620" w:rsidRPr="00F27620" w:rsidRDefault="00F27620" w:rsidP="009904A4">
      <w:pPr>
        <w:spacing w:after="0"/>
        <w:jc w:val="both"/>
        <w:rPr>
          <w:rFonts w:cstheme="minorHAnsi"/>
        </w:rPr>
      </w:pPr>
      <w:r w:rsidRPr="00F27620">
        <w:rPr>
          <w:rFonts w:cstheme="minorHAnsi"/>
        </w:rPr>
        <w:t>Cel operacyjny 1.4. Poprawa jakości rolniczej przestrzeni produkcyjnej</w:t>
      </w:r>
    </w:p>
    <w:p w:rsidR="00F27620" w:rsidRPr="00F27620" w:rsidRDefault="00F27620" w:rsidP="009904A4">
      <w:pPr>
        <w:spacing w:after="0"/>
        <w:jc w:val="both"/>
        <w:rPr>
          <w:rFonts w:cstheme="minorHAnsi"/>
        </w:rPr>
      </w:pPr>
      <w:r w:rsidRPr="00F27620">
        <w:rPr>
          <w:rFonts w:cstheme="minorHAnsi"/>
        </w:rPr>
        <w:t>Cel operacyjny 1.5. Przygotowanie i racjonalne wykorzystanie terenów</w:t>
      </w:r>
      <w:r w:rsidR="0022325D">
        <w:rPr>
          <w:rFonts w:cstheme="minorHAnsi"/>
        </w:rPr>
        <w:t xml:space="preserve"> </w:t>
      </w:r>
      <w:r w:rsidRPr="00F27620">
        <w:rPr>
          <w:rFonts w:cstheme="minorHAnsi"/>
        </w:rPr>
        <w:t>inwestycyjnych</w:t>
      </w:r>
    </w:p>
    <w:p w:rsidR="00F27620" w:rsidRPr="00F27620" w:rsidRDefault="00F27620" w:rsidP="009904A4">
      <w:pPr>
        <w:spacing w:after="0"/>
        <w:jc w:val="both"/>
        <w:rPr>
          <w:rFonts w:cstheme="minorHAnsi"/>
        </w:rPr>
      </w:pPr>
      <w:r w:rsidRPr="00F27620">
        <w:rPr>
          <w:rFonts w:cstheme="minorHAnsi"/>
        </w:rPr>
        <w:t>Cel operacyjny 1.6. Wzmocnienie regionotwórczych funkcji aglomeracji</w:t>
      </w:r>
      <w:r w:rsidR="0022325D">
        <w:rPr>
          <w:rFonts w:cstheme="minorHAnsi"/>
        </w:rPr>
        <w:t xml:space="preserve"> </w:t>
      </w:r>
      <w:r w:rsidRPr="00F27620">
        <w:rPr>
          <w:rFonts w:cstheme="minorHAnsi"/>
        </w:rPr>
        <w:t>poznańskiej jako ośrodka metropolitalnego o znaczeniu</w:t>
      </w:r>
      <w:r w:rsidR="0022325D">
        <w:rPr>
          <w:rFonts w:cstheme="minorHAnsi"/>
        </w:rPr>
        <w:t xml:space="preserve"> </w:t>
      </w:r>
      <w:r w:rsidRPr="00F27620">
        <w:rPr>
          <w:rFonts w:cstheme="minorHAnsi"/>
        </w:rPr>
        <w:t>europejskim</w:t>
      </w:r>
    </w:p>
    <w:p w:rsidR="00F27620" w:rsidRPr="00F27620" w:rsidRDefault="00F27620" w:rsidP="009904A4">
      <w:pPr>
        <w:spacing w:after="0"/>
        <w:jc w:val="both"/>
        <w:rPr>
          <w:rFonts w:cstheme="minorHAnsi"/>
        </w:rPr>
      </w:pPr>
      <w:r w:rsidRPr="00F27620">
        <w:rPr>
          <w:rFonts w:cstheme="minorHAnsi"/>
        </w:rPr>
        <w:t>Cel operacyjny 1.7. Wielofunkcyjny rozwój ośrodków subregionalnych i</w:t>
      </w:r>
      <w:r w:rsidR="0022325D">
        <w:rPr>
          <w:rFonts w:cstheme="minorHAnsi"/>
        </w:rPr>
        <w:t xml:space="preserve"> </w:t>
      </w:r>
      <w:r w:rsidRPr="00F27620">
        <w:rPr>
          <w:rFonts w:cstheme="minorHAnsi"/>
        </w:rPr>
        <w:t>lokalnych</w:t>
      </w:r>
    </w:p>
    <w:p w:rsidR="00F27620" w:rsidRPr="00F27620" w:rsidRDefault="00F27620" w:rsidP="009904A4">
      <w:pPr>
        <w:spacing w:after="0"/>
        <w:jc w:val="both"/>
        <w:rPr>
          <w:rFonts w:cstheme="minorHAnsi"/>
        </w:rPr>
      </w:pPr>
      <w:r w:rsidRPr="00F27620">
        <w:rPr>
          <w:rFonts w:cstheme="minorHAnsi"/>
        </w:rPr>
        <w:t>Cel operacyjny 1.8. Restrukturyzacja obszarów o niewłaściwym potencjale</w:t>
      </w:r>
      <w:r w:rsidR="0022325D">
        <w:rPr>
          <w:rFonts w:cstheme="minorHAnsi"/>
        </w:rPr>
        <w:t xml:space="preserve"> </w:t>
      </w:r>
      <w:r w:rsidRPr="00F27620">
        <w:rPr>
          <w:rFonts w:cstheme="minorHAnsi"/>
        </w:rPr>
        <w:t>rozwojowym</w:t>
      </w:r>
    </w:p>
    <w:p w:rsidR="00933930" w:rsidRPr="0022325D" w:rsidRDefault="00FB57B5" w:rsidP="009904A4">
      <w:pPr>
        <w:pStyle w:val="Akapitzlist"/>
        <w:numPr>
          <w:ilvl w:val="0"/>
          <w:numId w:val="39"/>
        </w:numPr>
        <w:spacing w:line="276" w:lineRule="auto"/>
        <w:jc w:val="both"/>
        <w:rPr>
          <w:rFonts w:asciiTheme="minorHAnsi" w:hAnsiTheme="minorHAnsi" w:cstheme="minorHAnsi"/>
          <w:sz w:val="22"/>
        </w:rPr>
      </w:pPr>
      <w:r w:rsidRPr="0022325D">
        <w:rPr>
          <w:rFonts w:asciiTheme="minorHAnsi" w:hAnsiTheme="minorHAnsi" w:cstheme="minorHAnsi"/>
          <w:sz w:val="22"/>
        </w:rPr>
        <w:t>Zwiększenie efektywności wykorzystania pote</w:t>
      </w:r>
      <w:r w:rsidR="0022325D" w:rsidRPr="0022325D">
        <w:rPr>
          <w:rFonts w:asciiTheme="minorHAnsi" w:hAnsiTheme="minorHAnsi" w:cstheme="minorHAnsi"/>
          <w:sz w:val="22"/>
        </w:rPr>
        <w:t>ncjałów rozwojowych województwa</w:t>
      </w:r>
    </w:p>
    <w:p w:rsidR="0022325D" w:rsidRPr="0022325D" w:rsidRDefault="0022325D" w:rsidP="009904A4">
      <w:pPr>
        <w:spacing w:after="0"/>
        <w:jc w:val="both"/>
        <w:rPr>
          <w:rFonts w:cstheme="minorHAnsi"/>
        </w:rPr>
      </w:pPr>
      <w:r w:rsidRPr="0022325D">
        <w:rPr>
          <w:rFonts w:cstheme="minorHAnsi"/>
        </w:rPr>
        <w:lastRenderedPageBreak/>
        <w:t>Cel operacyjny 2.1. Wzmocnienie gospodarstw rolnych oraz gospodarki</w:t>
      </w:r>
      <w:r>
        <w:rPr>
          <w:rFonts w:cstheme="minorHAnsi"/>
        </w:rPr>
        <w:t xml:space="preserve"> </w:t>
      </w:r>
      <w:r w:rsidRPr="0022325D">
        <w:rPr>
          <w:rFonts w:cstheme="minorHAnsi" w:hint="eastAsia"/>
        </w:rPr>
        <w:t>ż</w:t>
      </w:r>
      <w:r w:rsidRPr="0022325D">
        <w:rPr>
          <w:rFonts w:cstheme="minorHAnsi"/>
        </w:rPr>
        <w:t>ywno</w:t>
      </w:r>
      <w:r w:rsidRPr="0022325D">
        <w:rPr>
          <w:rFonts w:cstheme="minorHAnsi" w:hint="eastAsia"/>
        </w:rPr>
        <w:t>ś</w:t>
      </w:r>
      <w:r w:rsidRPr="0022325D">
        <w:rPr>
          <w:rFonts w:cstheme="minorHAnsi"/>
        </w:rPr>
        <w:t>ciowej</w:t>
      </w:r>
    </w:p>
    <w:p w:rsidR="0022325D" w:rsidRPr="0022325D" w:rsidRDefault="0022325D" w:rsidP="009904A4">
      <w:pPr>
        <w:spacing w:after="0"/>
        <w:jc w:val="both"/>
        <w:rPr>
          <w:rFonts w:cstheme="minorHAnsi"/>
        </w:rPr>
      </w:pPr>
      <w:r w:rsidRPr="0022325D">
        <w:rPr>
          <w:rFonts w:cstheme="minorHAnsi"/>
        </w:rPr>
        <w:t>Cel operacyjny 2.2. Wzrost konkurencyjno</w:t>
      </w:r>
      <w:r w:rsidRPr="0022325D">
        <w:rPr>
          <w:rFonts w:cstheme="minorHAnsi" w:hint="eastAsia"/>
        </w:rPr>
        <w:t>ś</w:t>
      </w:r>
      <w:r w:rsidRPr="0022325D">
        <w:rPr>
          <w:rFonts w:cstheme="minorHAnsi"/>
        </w:rPr>
        <w:t>ci przedsi</w:t>
      </w:r>
      <w:r w:rsidRPr="0022325D">
        <w:rPr>
          <w:rFonts w:cstheme="minorHAnsi" w:hint="eastAsia"/>
        </w:rPr>
        <w:t>ę</w:t>
      </w:r>
      <w:r w:rsidRPr="0022325D">
        <w:rPr>
          <w:rFonts w:cstheme="minorHAnsi"/>
        </w:rPr>
        <w:t>biorstw</w:t>
      </w:r>
    </w:p>
    <w:p w:rsidR="0022325D" w:rsidRPr="0022325D" w:rsidRDefault="0022325D" w:rsidP="009904A4">
      <w:pPr>
        <w:spacing w:after="0"/>
        <w:jc w:val="both"/>
        <w:rPr>
          <w:rFonts w:cstheme="minorHAnsi"/>
        </w:rPr>
      </w:pPr>
      <w:r w:rsidRPr="0022325D">
        <w:rPr>
          <w:rFonts w:cstheme="minorHAnsi"/>
        </w:rPr>
        <w:t>Cel operacyjny 2.3. Wzrost udzia</w:t>
      </w:r>
      <w:r w:rsidRPr="0022325D">
        <w:rPr>
          <w:rFonts w:cstheme="minorHAnsi" w:hint="eastAsia"/>
        </w:rPr>
        <w:t>ł</w:t>
      </w:r>
      <w:r w:rsidRPr="0022325D">
        <w:rPr>
          <w:rFonts w:cstheme="minorHAnsi"/>
        </w:rPr>
        <w:t>u nauki i bada</w:t>
      </w:r>
      <w:r w:rsidRPr="0022325D">
        <w:rPr>
          <w:rFonts w:cstheme="minorHAnsi" w:hint="eastAsia"/>
        </w:rPr>
        <w:t>ń</w:t>
      </w:r>
      <w:r w:rsidRPr="0022325D">
        <w:rPr>
          <w:rFonts w:cstheme="minorHAnsi"/>
        </w:rPr>
        <w:t xml:space="preserve"> w rozwoju regionu</w:t>
      </w:r>
    </w:p>
    <w:p w:rsidR="0022325D" w:rsidRPr="00F27620" w:rsidRDefault="0022325D" w:rsidP="009904A4">
      <w:pPr>
        <w:spacing w:after="0"/>
        <w:jc w:val="both"/>
        <w:rPr>
          <w:rFonts w:cstheme="minorHAnsi"/>
        </w:rPr>
      </w:pPr>
      <w:r w:rsidRPr="0022325D">
        <w:rPr>
          <w:rFonts w:cstheme="minorHAnsi"/>
        </w:rPr>
        <w:t>Cel operacyjny 2.4. Zwi</w:t>
      </w:r>
      <w:r w:rsidRPr="0022325D">
        <w:rPr>
          <w:rFonts w:cstheme="minorHAnsi" w:hint="eastAsia"/>
        </w:rPr>
        <w:t>ę</w:t>
      </w:r>
      <w:r w:rsidRPr="0022325D">
        <w:rPr>
          <w:rFonts w:cstheme="minorHAnsi"/>
        </w:rPr>
        <w:t>kszenie udzia</w:t>
      </w:r>
      <w:r w:rsidRPr="0022325D">
        <w:rPr>
          <w:rFonts w:cstheme="minorHAnsi" w:hint="eastAsia"/>
        </w:rPr>
        <w:t>ł</w:t>
      </w:r>
      <w:r w:rsidRPr="0022325D">
        <w:rPr>
          <w:rFonts w:cstheme="minorHAnsi"/>
        </w:rPr>
        <w:t>u us</w:t>
      </w:r>
      <w:r w:rsidRPr="0022325D">
        <w:rPr>
          <w:rFonts w:cstheme="minorHAnsi" w:hint="eastAsia"/>
        </w:rPr>
        <w:t>ł</w:t>
      </w:r>
      <w:r w:rsidRPr="0022325D">
        <w:rPr>
          <w:rFonts w:cstheme="minorHAnsi"/>
        </w:rPr>
        <w:t>ug turystycznych i rekreacji w</w:t>
      </w:r>
      <w:r>
        <w:rPr>
          <w:rFonts w:cstheme="minorHAnsi"/>
        </w:rPr>
        <w:t xml:space="preserve"> </w:t>
      </w:r>
      <w:r w:rsidRPr="0022325D">
        <w:rPr>
          <w:rFonts w:cstheme="minorHAnsi"/>
        </w:rPr>
        <w:t>gospodarce regionu</w:t>
      </w:r>
    </w:p>
    <w:p w:rsidR="00933930" w:rsidRPr="0022325D" w:rsidRDefault="00FB57B5" w:rsidP="009904A4">
      <w:pPr>
        <w:pStyle w:val="Akapitzlist"/>
        <w:numPr>
          <w:ilvl w:val="0"/>
          <w:numId w:val="39"/>
        </w:numPr>
        <w:spacing w:line="276" w:lineRule="auto"/>
        <w:jc w:val="both"/>
        <w:rPr>
          <w:rFonts w:asciiTheme="minorHAnsi" w:hAnsiTheme="minorHAnsi" w:cstheme="minorHAnsi"/>
          <w:sz w:val="22"/>
        </w:rPr>
      </w:pPr>
      <w:r w:rsidRPr="0022325D">
        <w:rPr>
          <w:rFonts w:asciiTheme="minorHAnsi" w:hAnsiTheme="minorHAnsi" w:cstheme="minorHAnsi"/>
          <w:sz w:val="22"/>
        </w:rPr>
        <w:t>Wzrost kompetencji mies</w:t>
      </w:r>
      <w:r w:rsidR="0022325D" w:rsidRPr="0022325D">
        <w:rPr>
          <w:rFonts w:asciiTheme="minorHAnsi" w:hAnsiTheme="minorHAnsi" w:cstheme="minorHAnsi"/>
          <w:sz w:val="22"/>
        </w:rPr>
        <w:t>zkańców i promocja zatrudnienia</w:t>
      </w:r>
    </w:p>
    <w:p w:rsidR="0022325D" w:rsidRPr="0022325D" w:rsidRDefault="0022325D" w:rsidP="009904A4">
      <w:pPr>
        <w:spacing w:after="0"/>
        <w:jc w:val="both"/>
        <w:rPr>
          <w:rFonts w:cstheme="minorHAnsi"/>
        </w:rPr>
      </w:pPr>
      <w:r w:rsidRPr="0022325D">
        <w:rPr>
          <w:rFonts w:cstheme="minorHAnsi"/>
        </w:rPr>
        <w:t>Cel operacyjny 3.1. Ograniczanie barier w dostępie do edukacji</w:t>
      </w:r>
    </w:p>
    <w:p w:rsidR="0022325D" w:rsidRPr="0022325D" w:rsidRDefault="0022325D" w:rsidP="009904A4">
      <w:pPr>
        <w:spacing w:after="0"/>
        <w:jc w:val="both"/>
        <w:rPr>
          <w:rFonts w:cstheme="minorHAnsi"/>
        </w:rPr>
      </w:pPr>
      <w:r w:rsidRPr="0022325D">
        <w:rPr>
          <w:rFonts w:cstheme="minorHAnsi"/>
        </w:rPr>
        <w:t>Cel operacyjny 3.2. Poprawa jakości oraz wzrost różnorodności form</w:t>
      </w:r>
      <w:r>
        <w:rPr>
          <w:rFonts w:cstheme="minorHAnsi"/>
        </w:rPr>
        <w:t xml:space="preserve"> </w:t>
      </w:r>
      <w:r w:rsidRPr="0022325D">
        <w:rPr>
          <w:rFonts w:cstheme="minorHAnsi"/>
        </w:rPr>
        <w:t>kształcenia</w:t>
      </w:r>
    </w:p>
    <w:p w:rsidR="0022325D" w:rsidRPr="0022325D" w:rsidRDefault="0022325D" w:rsidP="009904A4">
      <w:pPr>
        <w:spacing w:after="0"/>
        <w:jc w:val="both"/>
        <w:rPr>
          <w:rFonts w:cstheme="minorHAnsi"/>
        </w:rPr>
      </w:pPr>
      <w:r w:rsidRPr="0022325D">
        <w:rPr>
          <w:rFonts w:cstheme="minorHAnsi"/>
        </w:rPr>
        <w:t>Cel operacyjny 3.3. Rozwój przedsiębiorczości i promocja samozatrudnienia</w:t>
      </w:r>
    </w:p>
    <w:p w:rsidR="0022325D" w:rsidRPr="00F27620" w:rsidRDefault="0022325D" w:rsidP="009904A4">
      <w:pPr>
        <w:spacing w:after="0"/>
        <w:jc w:val="both"/>
        <w:rPr>
          <w:rFonts w:cstheme="minorHAnsi"/>
        </w:rPr>
      </w:pPr>
      <w:r w:rsidRPr="0022325D">
        <w:rPr>
          <w:rFonts w:cstheme="minorHAnsi"/>
        </w:rPr>
        <w:t>Cel operacyjny 3.4. Poprawa organizacji rynku pracy</w:t>
      </w:r>
    </w:p>
    <w:p w:rsidR="00606333" w:rsidRPr="0022325D" w:rsidRDefault="00FB57B5" w:rsidP="009904A4">
      <w:pPr>
        <w:pStyle w:val="Akapitzlist"/>
        <w:numPr>
          <w:ilvl w:val="0"/>
          <w:numId w:val="39"/>
        </w:numPr>
        <w:spacing w:line="276" w:lineRule="auto"/>
        <w:jc w:val="both"/>
        <w:rPr>
          <w:rFonts w:asciiTheme="minorHAnsi" w:hAnsiTheme="minorHAnsi" w:cstheme="minorHAnsi"/>
          <w:sz w:val="22"/>
        </w:rPr>
      </w:pPr>
      <w:r w:rsidRPr="0022325D">
        <w:rPr>
          <w:rFonts w:asciiTheme="minorHAnsi" w:hAnsiTheme="minorHAnsi" w:cstheme="minorHAnsi"/>
          <w:sz w:val="22"/>
        </w:rPr>
        <w:t>Wzrost spójnoś</w:t>
      </w:r>
      <w:r w:rsidR="0022325D" w:rsidRPr="0022325D">
        <w:rPr>
          <w:rFonts w:asciiTheme="minorHAnsi" w:hAnsiTheme="minorHAnsi" w:cstheme="minorHAnsi"/>
          <w:sz w:val="22"/>
        </w:rPr>
        <w:t>ci i bezpieczeństwa społecznego</w:t>
      </w:r>
    </w:p>
    <w:p w:rsidR="0022325D" w:rsidRPr="0022325D" w:rsidRDefault="0022325D" w:rsidP="009904A4">
      <w:pPr>
        <w:spacing w:after="0"/>
        <w:jc w:val="both"/>
        <w:rPr>
          <w:rFonts w:cstheme="minorHAnsi"/>
        </w:rPr>
      </w:pPr>
      <w:r w:rsidRPr="0022325D">
        <w:rPr>
          <w:rFonts w:cstheme="minorHAnsi"/>
        </w:rPr>
        <w:t>Cel operacyjny 4.1. Poprawa sytuacji demograficznej oraz stanu zdrowia</w:t>
      </w:r>
      <w:r>
        <w:rPr>
          <w:rFonts w:cstheme="minorHAnsi"/>
        </w:rPr>
        <w:t xml:space="preserve"> </w:t>
      </w:r>
      <w:r w:rsidRPr="0022325D">
        <w:rPr>
          <w:rFonts w:cstheme="minorHAnsi"/>
        </w:rPr>
        <w:t>mieszkańców</w:t>
      </w:r>
    </w:p>
    <w:p w:rsidR="0022325D" w:rsidRPr="0022325D" w:rsidRDefault="0022325D" w:rsidP="009904A4">
      <w:pPr>
        <w:spacing w:after="0"/>
        <w:jc w:val="both"/>
        <w:rPr>
          <w:rFonts w:cstheme="minorHAnsi"/>
        </w:rPr>
      </w:pPr>
      <w:r w:rsidRPr="0022325D">
        <w:rPr>
          <w:rFonts w:cstheme="minorHAnsi"/>
        </w:rPr>
        <w:t>Cel operacyjny 4.2. Poprawa warunków mieszkaniowych</w:t>
      </w:r>
    </w:p>
    <w:p w:rsidR="0022325D" w:rsidRPr="0022325D" w:rsidRDefault="0022325D" w:rsidP="009904A4">
      <w:pPr>
        <w:spacing w:after="0"/>
        <w:jc w:val="both"/>
        <w:rPr>
          <w:rFonts w:cstheme="minorHAnsi"/>
        </w:rPr>
      </w:pPr>
      <w:r w:rsidRPr="0022325D">
        <w:rPr>
          <w:rFonts w:cstheme="minorHAnsi"/>
        </w:rPr>
        <w:t>Cel operacyjny 4.3. Rozwój usług socjalnych</w:t>
      </w:r>
    </w:p>
    <w:p w:rsidR="0022325D" w:rsidRPr="0022325D" w:rsidRDefault="0022325D" w:rsidP="009904A4">
      <w:pPr>
        <w:spacing w:after="0"/>
        <w:jc w:val="both"/>
        <w:rPr>
          <w:rFonts w:cstheme="minorHAnsi"/>
        </w:rPr>
      </w:pPr>
      <w:r w:rsidRPr="0022325D">
        <w:rPr>
          <w:rFonts w:cstheme="minorHAnsi"/>
        </w:rPr>
        <w:t>Cel operacyjny 4.4. Wzrost bezpieczeństwa</w:t>
      </w:r>
    </w:p>
    <w:p w:rsidR="0022325D" w:rsidRPr="0022325D" w:rsidRDefault="0022325D" w:rsidP="009904A4">
      <w:pPr>
        <w:spacing w:after="0"/>
        <w:jc w:val="both"/>
        <w:rPr>
          <w:rFonts w:cstheme="minorHAnsi"/>
        </w:rPr>
      </w:pPr>
      <w:r w:rsidRPr="0022325D">
        <w:rPr>
          <w:rFonts w:cstheme="minorHAnsi"/>
        </w:rPr>
        <w:t>Cel operacyjny 4.5 Ograniczenie skali patologii oraz wykluczeń społecznych</w:t>
      </w:r>
    </w:p>
    <w:p w:rsidR="0022325D" w:rsidRPr="0022325D" w:rsidRDefault="0022325D" w:rsidP="009904A4">
      <w:pPr>
        <w:spacing w:after="0"/>
        <w:jc w:val="both"/>
        <w:rPr>
          <w:rFonts w:cstheme="minorHAnsi"/>
        </w:rPr>
      </w:pPr>
      <w:r w:rsidRPr="0022325D">
        <w:rPr>
          <w:rFonts w:cstheme="minorHAnsi"/>
        </w:rPr>
        <w:t>Cel operacyjny 4.6. Budowa kapitału społecznego na rzecz społeczeństwa</w:t>
      </w:r>
      <w:r>
        <w:rPr>
          <w:rFonts w:cstheme="minorHAnsi"/>
        </w:rPr>
        <w:t xml:space="preserve"> </w:t>
      </w:r>
      <w:r w:rsidRPr="0022325D">
        <w:rPr>
          <w:rFonts w:cstheme="minorHAnsi"/>
        </w:rPr>
        <w:t>obywatelskiego</w:t>
      </w:r>
    </w:p>
    <w:p w:rsidR="0022325D" w:rsidRDefault="0022325D" w:rsidP="009904A4">
      <w:pPr>
        <w:spacing w:after="0"/>
        <w:jc w:val="both"/>
        <w:rPr>
          <w:rFonts w:cstheme="minorHAnsi"/>
        </w:rPr>
      </w:pPr>
      <w:r w:rsidRPr="0022325D">
        <w:rPr>
          <w:rFonts w:cstheme="minorHAnsi"/>
        </w:rPr>
        <w:t>Cel operacyjny 4.7. Wzrost udziału sportu i rekreacji w życiu mieszkańców</w:t>
      </w:r>
      <w:r>
        <w:rPr>
          <w:rFonts w:cstheme="minorHAnsi"/>
        </w:rPr>
        <w:t xml:space="preserve"> </w:t>
      </w:r>
      <w:r w:rsidRPr="0022325D">
        <w:rPr>
          <w:rFonts w:cstheme="minorHAnsi"/>
        </w:rPr>
        <w:t>regionu</w:t>
      </w:r>
    </w:p>
    <w:p w:rsidR="0022325D" w:rsidRPr="00F27620" w:rsidRDefault="0022325D" w:rsidP="009904A4">
      <w:pPr>
        <w:spacing w:after="0"/>
        <w:jc w:val="both"/>
        <w:rPr>
          <w:rFonts w:cstheme="minorHAnsi"/>
        </w:rPr>
      </w:pPr>
    </w:p>
    <w:p w:rsidR="005B69A2" w:rsidRDefault="005B69A2" w:rsidP="00C56D36">
      <w:pPr>
        <w:spacing w:before="240" w:after="0"/>
        <w:rPr>
          <w:b/>
          <w:color w:val="943634" w:themeColor="accent2" w:themeShade="BF"/>
        </w:rPr>
      </w:pPr>
      <w:r>
        <w:rPr>
          <w:b/>
          <w:color w:val="943634" w:themeColor="accent2" w:themeShade="BF"/>
        </w:rPr>
        <w:t xml:space="preserve">Wielkopolski </w:t>
      </w:r>
      <w:r w:rsidRPr="005B69A2">
        <w:rPr>
          <w:b/>
          <w:color w:val="943634" w:themeColor="accent2" w:themeShade="BF"/>
        </w:rPr>
        <w:t>Regionalny Program Operacyjny</w:t>
      </w:r>
      <w:r>
        <w:rPr>
          <w:b/>
          <w:color w:val="943634" w:themeColor="accent2" w:themeShade="BF"/>
        </w:rPr>
        <w:t xml:space="preserve"> na lata 2007-2013</w:t>
      </w:r>
    </w:p>
    <w:p w:rsidR="005B69A2" w:rsidRDefault="005B69A2" w:rsidP="00C56D36">
      <w:pPr>
        <w:spacing w:after="0"/>
        <w:jc w:val="both"/>
      </w:pPr>
      <w:r w:rsidRPr="005B69A2">
        <w:t>Cel główny Regionalnego Programu Operacyjnego</w:t>
      </w:r>
      <w:r>
        <w:t xml:space="preserve"> to w</w:t>
      </w:r>
      <w:r w:rsidRPr="005B69A2">
        <w:t>zmocnienie potencjału rozwojowego Wielkopolski na rzecz wzrostu konkurencyjności i zatrudnienia</w:t>
      </w:r>
      <w:r>
        <w:t>.</w:t>
      </w:r>
    </w:p>
    <w:p w:rsidR="005B69A2" w:rsidRDefault="005B69A2" w:rsidP="005B69A2">
      <w:pPr>
        <w:spacing w:after="0"/>
        <w:jc w:val="both"/>
      </w:pPr>
      <w:r>
        <w:t>Wzmocnienie potencjału rozwojowego Wielkopolski skutkujące wzrostem konkurencyjności oraz odpowiednią liczbą nowych miejsc pracy wymaga realizacji następujących celów szczegółowych:</w:t>
      </w:r>
    </w:p>
    <w:p w:rsidR="005B69A2" w:rsidRPr="005B69A2" w:rsidRDefault="005B69A2" w:rsidP="00E84FFC">
      <w:pPr>
        <w:pStyle w:val="Akapitzlist"/>
        <w:numPr>
          <w:ilvl w:val="0"/>
          <w:numId w:val="19"/>
        </w:numPr>
        <w:jc w:val="both"/>
        <w:rPr>
          <w:rFonts w:asciiTheme="minorHAnsi" w:hAnsiTheme="minorHAnsi"/>
          <w:sz w:val="22"/>
        </w:rPr>
      </w:pPr>
      <w:r w:rsidRPr="005B69A2">
        <w:rPr>
          <w:rFonts w:asciiTheme="minorHAnsi" w:hAnsiTheme="minorHAnsi"/>
          <w:sz w:val="22"/>
        </w:rPr>
        <w:t>Poprawa warunków inwestowania</w:t>
      </w:r>
    </w:p>
    <w:p w:rsidR="005B69A2" w:rsidRPr="005B69A2" w:rsidRDefault="005B69A2" w:rsidP="00E84FFC">
      <w:pPr>
        <w:pStyle w:val="Akapitzlist"/>
        <w:numPr>
          <w:ilvl w:val="0"/>
          <w:numId w:val="19"/>
        </w:numPr>
        <w:rPr>
          <w:rFonts w:asciiTheme="minorHAnsi" w:hAnsiTheme="minorHAnsi"/>
          <w:sz w:val="22"/>
        </w:rPr>
      </w:pPr>
      <w:r w:rsidRPr="005B69A2">
        <w:rPr>
          <w:rFonts w:asciiTheme="minorHAnsi" w:hAnsiTheme="minorHAnsi"/>
          <w:sz w:val="22"/>
        </w:rPr>
        <w:t>Wzrost aktywności zawodowej mieszkańców</w:t>
      </w:r>
    </w:p>
    <w:p w:rsidR="005B69A2" w:rsidRDefault="005B69A2" w:rsidP="00E84FFC">
      <w:pPr>
        <w:pStyle w:val="Akapitzlist"/>
        <w:numPr>
          <w:ilvl w:val="0"/>
          <w:numId w:val="19"/>
        </w:numPr>
        <w:rPr>
          <w:rFonts w:asciiTheme="minorHAnsi" w:hAnsiTheme="minorHAnsi"/>
          <w:sz w:val="22"/>
        </w:rPr>
      </w:pPr>
      <w:r w:rsidRPr="005B69A2">
        <w:rPr>
          <w:rFonts w:asciiTheme="minorHAnsi" w:hAnsiTheme="minorHAnsi"/>
          <w:sz w:val="22"/>
        </w:rPr>
        <w:t>Wzrost udziału wiedzy i innowacji w gospodarce regionu</w:t>
      </w:r>
    </w:p>
    <w:p w:rsidR="00A733E9" w:rsidRDefault="00A733E9" w:rsidP="00C56D36">
      <w:pPr>
        <w:spacing w:after="0"/>
        <w:jc w:val="both"/>
      </w:pPr>
      <w:r>
        <w:t>Cele szczegółowe programu są ilustracją spójności zaprojektowanego pola interwencji oraz spodziewanej synergii wynikającej z realizacji poszczególnych priorytetów. Cele programu realizowane będą poprzez następujące priorytety:</w:t>
      </w:r>
    </w:p>
    <w:p w:rsidR="00A733E9" w:rsidRPr="00A733E9" w:rsidRDefault="00A733E9" w:rsidP="00E84FFC">
      <w:pPr>
        <w:pStyle w:val="Akapitzlist"/>
        <w:numPr>
          <w:ilvl w:val="0"/>
          <w:numId w:val="19"/>
        </w:numPr>
        <w:jc w:val="both"/>
        <w:rPr>
          <w:rFonts w:asciiTheme="minorHAnsi" w:hAnsiTheme="minorHAnsi"/>
          <w:sz w:val="22"/>
        </w:rPr>
      </w:pPr>
      <w:r w:rsidRPr="00A733E9">
        <w:rPr>
          <w:rFonts w:asciiTheme="minorHAnsi" w:hAnsiTheme="minorHAnsi"/>
          <w:sz w:val="22"/>
        </w:rPr>
        <w:t>Konkurencyjność przedsiębiorstw</w:t>
      </w:r>
    </w:p>
    <w:p w:rsidR="00A733E9" w:rsidRPr="00A733E9" w:rsidRDefault="00A733E9" w:rsidP="00E84FFC">
      <w:pPr>
        <w:pStyle w:val="Akapitzlist"/>
        <w:numPr>
          <w:ilvl w:val="0"/>
          <w:numId w:val="19"/>
        </w:numPr>
        <w:jc w:val="both"/>
        <w:rPr>
          <w:rFonts w:asciiTheme="minorHAnsi" w:hAnsiTheme="minorHAnsi"/>
          <w:sz w:val="22"/>
        </w:rPr>
      </w:pPr>
      <w:r w:rsidRPr="00A733E9">
        <w:rPr>
          <w:rFonts w:asciiTheme="minorHAnsi" w:hAnsiTheme="minorHAnsi"/>
          <w:sz w:val="22"/>
        </w:rPr>
        <w:t>Infrastruktura o komunikacyjna</w:t>
      </w:r>
    </w:p>
    <w:p w:rsidR="00A733E9" w:rsidRPr="00A733E9" w:rsidRDefault="00A733E9" w:rsidP="00E84FFC">
      <w:pPr>
        <w:pStyle w:val="Akapitzlist"/>
        <w:numPr>
          <w:ilvl w:val="0"/>
          <w:numId w:val="19"/>
        </w:numPr>
        <w:jc w:val="both"/>
        <w:rPr>
          <w:rFonts w:asciiTheme="minorHAnsi" w:hAnsiTheme="minorHAnsi"/>
          <w:sz w:val="22"/>
        </w:rPr>
      </w:pPr>
      <w:r w:rsidRPr="00A733E9">
        <w:rPr>
          <w:rFonts w:asciiTheme="minorHAnsi" w:hAnsiTheme="minorHAnsi"/>
          <w:sz w:val="22"/>
        </w:rPr>
        <w:t>Środowisko przyrodnicze</w:t>
      </w:r>
    </w:p>
    <w:p w:rsidR="00A733E9" w:rsidRPr="00A733E9" w:rsidRDefault="00A733E9" w:rsidP="00E84FFC">
      <w:pPr>
        <w:pStyle w:val="Akapitzlist"/>
        <w:numPr>
          <w:ilvl w:val="0"/>
          <w:numId w:val="19"/>
        </w:numPr>
        <w:jc w:val="both"/>
        <w:rPr>
          <w:rFonts w:asciiTheme="minorHAnsi" w:hAnsiTheme="minorHAnsi"/>
          <w:sz w:val="22"/>
        </w:rPr>
      </w:pPr>
      <w:r w:rsidRPr="00A733E9">
        <w:rPr>
          <w:rFonts w:asciiTheme="minorHAnsi" w:hAnsiTheme="minorHAnsi"/>
          <w:sz w:val="22"/>
        </w:rPr>
        <w:t>Rewitalizacja obszarów problemowych</w:t>
      </w:r>
    </w:p>
    <w:p w:rsidR="00A733E9" w:rsidRPr="00A733E9" w:rsidRDefault="00A733E9" w:rsidP="00E84FFC">
      <w:pPr>
        <w:pStyle w:val="Akapitzlist"/>
        <w:numPr>
          <w:ilvl w:val="0"/>
          <w:numId w:val="19"/>
        </w:numPr>
        <w:jc w:val="both"/>
        <w:rPr>
          <w:rFonts w:asciiTheme="minorHAnsi" w:hAnsiTheme="minorHAnsi"/>
          <w:sz w:val="22"/>
        </w:rPr>
      </w:pPr>
      <w:r w:rsidRPr="00A733E9">
        <w:rPr>
          <w:rFonts w:asciiTheme="minorHAnsi" w:hAnsiTheme="minorHAnsi"/>
          <w:sz w:val="22"/>
        </w:rPr>
        <w:t>Infrastruktura dla kapitału ludzkiego</w:t>
      </w:r>
    </w:p>
    <w:p w:rsidR="00A733E9" w:rsidRPr="00A733E9" w:rsidRDefault="00A733E9" w:rsidP="00E84FFC">
      <w:pPr>
        <w:pStyle w:val="Akapitzlist"/>
        <w:numPr>
          <w:ilvl w:val="0"/>
          <w:numId w:val="19"/>
        </w:numPr>
        <w:jc w:val="both"/>
        <w:rPr>
          <w:rFonts w:asciiTheme="minorHAnsi" w:hAnsiTheme="minorHAnsi"/>
          <w:sz w:val="22"/>
        </w:rPr>
      </w:pPr>
      <w:r w:rsidRPr="00A733E9">
        <w:rPr>
          <w:rFonts w:asciiTheme="minorHAnsi" w:hAnsiTheme="minorHAnsi"/>
          <w:sz w:val="22"/>
        </w:rPr>
        <w:t>Turystyka i środowisko kulturowe</w:t>
      </w:r>
    </w:p>
    <w:p w:rsidR="00A733E9" w:rsidRPr="00A733E9" w:rsidRDefault="00A733E9" w:rsidP="00E84FFC">
      <w:pPr>
        <w:pStyle w:val="Akapitzlist"/>
        <w:numPr>
          <w:ilvl w:val="0"/>
          <w:numId w:val="19"/>
        </w:numPr>
        <w:jc w:val="both"/>
        <w:rPr>
          <w:rFonts w:asciiTheme="minorHAnsi" w:hAnsiTheme="minorHAnsi"/>
          <w:sz w:val="22"/>
        </w:rPr>
      </w:pPr>
      <w:r w:rsidRPr="00A733E9">
        <w:rPr>
          <w:rFonts w:asciiTheme="minorHAnsi" w:hAnsiTheme="minorHAnsi"/>
          <w:sz w:val="22"/>
        </w:rPr>
        <w:t>Pomoc techniczna.</w:t>
      </w:r>
    </w:p>
    <w:p w:rsidR="00317272" w:rsidRPr="00B57A92" w:rsidRDefault="00B57A92" w:rsidP="0043725A">
      <w:pPr>
        <w:spacing w:before="240" w:after="0"/>
        <w:jc w:val="both"/>
        <w:rPr>
          <w:b/>
          <w:color w:val="943634" w:themeColor="accent2" w:themeShade="BF"/>
        </w:rPr>
      </w:pPr>
      <w:r w:rsidRPr="00B57A92">
        <w:rPr>
          <w:b/>
          <w:color w:val="943634" w:themeColor="accent2" w:themeShade="BF"/>
        </w:rPr>
        <w:t>Program ochrony środowiska województwa wielkopolskiego na lata 2008-2011 z perspektywą na lata 2012-2019</w:t>
      </w:r>
      <w:r w:rsidR="00912124">
        <w:rPr>
          <w:b/>
          <w:color w:val="943634" w:themeColor="accent2" w:themeShade="BF"/>
        </w:rPr>
        <w:t xml:space="preserve"> </w:t>
      </w:r>
      <w:r w:rsidR="00912124" w:rsidRPr="00912124">
        <w:t>(</w:t>
      </w:r>
      <w:r w:rsidR="001A163B">
        <w:t>uchwalony 5.07.</w:t>
      </w:r>
      <w:r w:rsidR="00912124" w:rsidRPr="00912124">
        <w:t>2010 r.)</w:t>
      </w:r>
    </w:p>
    <w:p w:rsidR="00D630D0" w:rsidRDefault="00FB57B5" w:rsidP="00D630D0">
      <w:pPr>
        <w:spacing w:after="0"/>
        <w:jc w:val="both"/>
      </w:pPr>
      <w:r w:rsidRPr="00FB57B5">
        <w:t xml:space="preserve">Cele ekologiczne i kierunki działań zostały sformułowane na podstawie głównych zagrożeń środowiska rozpatrywanych w kontekście aktualnych i planowanych wymagań prawnych w tym zakresie oraz potrzeb województwa. </w:t>
      </w:r>
      <w:r w:rsidR="001D703E">
        <w:t xml:space="preserve">Celem strategicznym polityki ekologicznej województwa wielkopolskiego do 2019 roku jest zapewnienie bezpieczeństwa ekologicznego województwa (mieszkańców, zasobów przyrodniczych i infrastruktury społecznej) oraz harmonizacja rozwoju gospodarczego i społecznego z ochroną walorów środowiskowych. Celowi temu podporządkowane </w:t>
      </w:r>
      <w:r w:rsidR="001D703E">
        <w:lastRenderedPageBreak/>
        <w:t xml:space="preserve">są cele szczegółowe, których realizacja będzie miała miejsce poprzez </w:t>
      </w:r>
      <w:r w:rsidR="00AC2D0E">
        <w:t>przypisane im kierunki działań</w:t>
      </w:r>
      <w:r w:rsidR="00D630D0">
        <w:t>. Cele szczegółowe zostały ujęte w trzech blokach tematycznych, tj.:</w:t>
      </w:r>
    </w:p>
    <w:p w:rsidR="00912124" w:rsidRPr="00BE292A" w:rsidRDefault="00D630D0" w:rsidP="00BE292A">
      <w:pPr>
        <w:pStyle w:val="Akapitzlist"/>
        <w:numPr>
          <w:ilvl w:val="0"/>
          <w:numId w:val="45"/>
        </w:numPr>
        <w:ind w:left="426" w:hanging="284"/>
        <w:jc w:val="both"/>
        <w:rPr>
          <w:rFonts w:ascii="Calibri" w:hAnsi="Calibri" w:cs="Calibri"/>
          <w:i/>
          <w:iCs/>
          <w:sz w:val="22"/>
        </w:rPr>
      </w:pPr>
      <w:r w:rsidRPr="00BE292A">
        <w:rPr>
          <w:rFonts w:ascii="Calibri" w:hAnsi="Calibri" w:cs="Calibri"/>
          <w:sz w:val="22"/>
        </w:rPr>
        <w:t>ochrona zasobów naturalnych</w:t>
      </w:r>
    </w:p>
    <w:p w:rsidR="00D630D0" w:rsidRPr="00912124" w:rsidRDefault="00912124" w:rsidP="00912124">
      <w:pPr>
        <w:pStyle w:val="Akapitzlist"/>
        <w:numPr>
          <w:ilvl w:val="0"/>
          <w:numId w:val="18"/>
        </w:numPr>
        <w:jc w:val="both"/>
        <w:rPr>
          <w:rFonts w:ascii="Calibri" w:hAnsi="Calibri" w:cs="Calibri"/>
          <w:i/>
          <w:iCs/>
        </w:rPr>
      </w:pPr>
      <w:r>
        <w:rPr>
          <w:rFonts w:ascii="Calibri" w:hAnsi="Calibri" w:cs="Calibri"/>
          <w:sz w:val="22"/>
        </w:rPr>
        <w:t>ochrona przyrody</w:t>
      </w:r>
    </w:p>
    <w:p w:rsidR="00912124" w:rsidRPr="00BE292A" w:rsidRDefault="00912124" w:rsidP="00912124">
      <w:pPr>
        <w:pStyle w:val="Akapitzlist"/>
        <w:numPr>
          <w:ilvl w:val="0"/>
          <w:numId w:val="18"/>
        </w:numPr>
        <w:jc w:val="both"/>
        <w:rPr>
          <w:rFonts w:ascii="Calibri" w:hAnsi="Calibri" w:cs="Calibri"/>
          <w:i/>
          <w:iCs/>
        </w:rPr>
      </w:pPr>
      <w:r>
        <w:rPr>
          <w:rFonts w:ascii="Calibri" w:hAnsi="Calibri" w:cs="Calibri"/>
          <w:iCs/>
          <w:sz w:val="22"/>
          <w:szCs w:val="22"/>
        </w:rPr>
        <w:t>ochrona i zrównoważony rozwój lasów</w:t>
      </w:r>
    </w:p>
    <w:p w:rsidR="00BE292A" w:rsidRPr="00BE292A" w:rsidRDefault="00BE292A" w:rsidP="00912124">
      <w:pPr>
        <w:pStyle w:val="Akapitzlist"/>
        <w:numPr>
          <w:ilvl w:val="0"/>
          <w:numId w:val="18"/>
        </w:numPr>
        <w:jc w:val="both"/>
        <w:rPr>
          <w:rFonts w:ascii="Calibri" w:hAnsi="Calibri" w:cs="Calibri"/>
          <w:i/>
          <w:iCs/>
        </w:rPr>
      </w:pPr>
      <w:r>
        <w:rPr>
          <w:rFonts w:ascii="Calibri" w:hAnsi="Calibri" w:cs="Calibri"/>
          <w:iCs/>
          <w:sz w:val="22"/>
          <w:szCs w:val="22"/>
        </w:rPr>
        <w:t>racjonalne gospodarowanie zasobami wodnymi</w:t>
      </w:r>
    </w:p>
    <w:p w:rsidR="00BE292A" w:rsidRPr="00BE292A" w:rsidRDefault="00BE292A" w:rsidP="00912124">
      <w:pPr>
        <w:pStyle w:val="Akapitzlist"/>
        <w:numPr>
          <w:ilvl w:val="0"/>
          <w:numId w:val="18"/>
        </w:numPr>
        <w:jc w:val="both"/>
        <w:rPr>
          <w:rFonts w:ascii="Calibri" w:hAnsi="Calibri" w:cs="Calibri"/>
          <w:i/>
          <w:iCs/>
        </w:rPr>
      </w:pPr>
      <w:r>
        <w:rPr>
          <w:rFonts w:ascii="Calibri" w:hAnsi="Calibri" w:cs="Calibri"/>
          <w:iCs/>
          <w:sz w:val="22"/>
          <w:szCs w:val="22"/>
        </w:rPr>
        <w:t>ochrona powierzchni ziemi</w:t>
      </w:r>
    </w:p>
    <w:p w:rsidR="00BE292A" w:rsidRPr="00912124" w:rsidRDefault="00BE292A" w:rsidP="00912124">
      <w:pPr>
        <w:pStyle w:val="Akapitzlist"/>
        <w:numPr>
          <w:ilvl w:val="0"/>
          <w:numId w:val="18"/>
        </w:numPr>
        <w:jc w:val="both"/>
        <w:rPr>
          <w:rFonts w:ascii="Calibri" w:hAnsi="Calibri" w:cs="Calibri"/>
          <w:i/>
          <w:iCs/>
        </w:rPr>
      </w:pPr>
      <w:r>
        <w:rPr>
          <w:rFonts w:ascii="Calibri" w:hAnsi="Calibri" w:cs="Calibri"/>
          <w:iCs/>
          <w:sz w:val="22"/>
          <w:szCs w:val="22"/>
        </w:rPr>
        <w:t>gospodarowanie zasobami geologicznymi</w:t>
      </w:r>
    </w:p>
    <w:p w:rsidR="00D630D0" w:rsidRDefault="00D630D0" w:rsidP="007678DE">
      <w:pPr>
        <w:pStyle w:val="Akapitzlist"/>
        <w:numPr>
          <w:ilvl w:val="0"/>
          <w:numId w:val="45"/>
        </w:numPr>
        <w:ind w:left="426" w:hanging="284"/>
        <w:jc w:val="both"/>
        <w:rPr>
          <w:rFonts w:ascii="Calibri" w:hAnsi="Calibri" w:cs="Calibri"/>
          <w:sz w:val="22"/>
        </w:rPr>
      </w:pPr>
      <w:r w:rsidRPr="0018723B">
        <w:rPr>
          <w:rFonts w:ascii="Calibri" w:hAnsi="Calibri" w:cs="Calibri"/>
          <w:sz w:val="22"/>
        </w:rPr>
        <w:t>poprawa jakości środowiska i bezpieczeństwa ekologicznego,</w:t>
      </w:r>
    </w:p>
    <w:p w:rsidR="007678DE" w:rsidRPr="002E78EB" w:rsidRDefault="007678DE" w:rsidP="007678DE">
      <w:pPr>
        <w:pStyle w:val="Akapitzlist"/>
        <w:numPr>
          <w:ilvl w:val="0"/>
          <w:numId w:val="18"/>
        </w:numPr>
        <w:jc w:val="both"/>
        <w:rPr>
          <w:rFonts w:ascii="Calibri" w:hAnsi="Calibri" w:cs="Calibri"/>
          <w:i/>
          <w:iCs/>
        </w:rPr>
      </w:pPr>
      <w:r>
        <w:rPr>
          <w:rFonts w:ascii="Calibri" w:hAnsi="Calibri" w:cs="Calibri"/>
          <w:sz w:val="22"/>
        </w:rPr>
        <w:t>jakość wód i gospodarka wodno-ściekowa</w:t>
      </w:r>
    </w:p>
    <w:p w:rsidR="002E78EB" w:rsidRPr="002E78EB" w:rsidRDefault="002E78EB" w:rsidP="002E78EB">
      <w:pPr>
        <w:pStyle w:val="Akapitzlist"/>
        <w:numPr>
          <w:ilvl w:val="0"/>
          <w:numId w:val="18"/>
        </w:numPr>
        <w:jc w:val="both"/>
        <w:rPr>
          <w:rFonts w:ascii="Calibri" w:hAnsi="Calibri" w:cs="Calibri"/>
          <w:i/>
          <w:iCs/>
        </w:rPr>
      </w:pPr>
      <w:r>
        <w:rPr>
          <w:rFonts w:ascii="Calibri" w:hAnsi="Calibri" w:cs="Calibri"/>
          <w:sz w:val="22"/>
        </w:rPr>
        <w:t>jakość powietrza</w:t>
      </w:r>
    </w:p>
    <w:p w:rsidR="002E78EB" w:rsidRPr="002E78EB" w:rsidRDefault="002E78EB" w:rsidP="002E78EB">
      <w:pPr>
        <w:pStyle w:val="Akapitzlist"/>
        <w:numPr>
          <w:ilvl w:val="0"/>
          <w:numId w:val="18"/>
        </w:numPr>
        <w:jc w:val="both"/>
        <w:rPr>
          <w:rFonts w:ascii="Calibri" w:hAnsi="Calibri" w:cs="Calibri"/>
          <w:i/>
          <w:iCs/>
        </w:rPr>
      </w:pPr>
      <w:r>
        <w:rPr>
          <w:rFonts w:ascii="Calibri" w:hAnsi="Calibri" w:cs="Calibri"/>
          <w:sz w:val="22"/>
        </w:rPr>
        <w:t>gospodarka odpadami</w:t>
      </w:r>
    </w:p>
    <w:p w:rsidR="002E78EB" w:rsidRPr="00E07F91" w:rsidRDefault="002E78EB" w:rsidP="002E78EB">
      <w:pPr>
        <w:pStyle w:val="Akapitzlist"/>
        <w:numPr>
          <w:ilvl w:val="0"/>
          <w:numId w:val="18"/>
        </w:numPr>
        <w:jc w:val="both"/>
        <w:rPr>
          <w:rFonts w:ascii="Calibri" w:hAnsi="Calibri" w:cs="Calibri"/>
          <w:i/>
          <w:iCs/>
        </w:rPr>
      </w:pPr>
      <w:r>
        <w:rPr>
          <w:rFonts w:ascii="Calibri" w:hAnsi="Calibri" w:cs="Calibri"/>
          <w:sz w:val="22"/>
        </w:rPr>
        <w:t>hałas</w:t>
      </w:r>
    </w:p>
    <w:p w:rsidR="00E07F91" w:rsidRPr="00E07F91" w:rsidRDefault="00E07F91" w:rsidP="00E07F91">
      <w:pPr>
        <w:pStyle w:val="Akapitzlist"/>
        <w:numPr>
          <w:ilvl w:val="0"/>
          <w:numId w:val="18"/>
        </w:numPr>
        <w:jc w:val="both"/>
        <w:rPr>
          <w:rFonts w:ascii="Calibri" w:hAnsi="Calibri" w:cs="Calibri"/>
          <w:i/>
          <w:iCs/>
          <w:sz w:val="22"/>
          <w:szCs w:val="22"/>
        </w:rPr>
      </w:pPr>
      <w:r>
        <w:rPr>
          <w:rFonts w:ascii="Calibri" w:hAnsi="Calibri" w:cs="Calibri"/>
          <w:sz w:val="22"/>
        </w:rPr>
        <w:t>pola elektromagnetyczne</w:t>
      </w:r>
    </w:p>
    <w:p w:rsidR="00E07F91" w:rsidRPr="00E07F91" w:rsidRDefault="00E07F91" w:rsidP="00E07F91">
      <w:pPr>
        <w:pStyle w:val="Akapitzlist"/>
        <w:numPr>
          <w:ilvl w:val="0"/>
          <w:numId w:val="18"/>
        </w:numPr>
        <w:jc w:val="both"/>
        <w:rPr>
          <w:rFonts w:ascii="Calibri" w:hAnsi="Calibri" w:cs="Calibri"/>
          <w:i/>
          <w:iCs/>
          <w:sz w:val="22"/>
          <w:szCs w:val="22"/>
        </w:rPr>
      </w:pPr>
      <w:r>
        <w:rPr>
          <w:rFonts w:ascii="Calibri" w:hAnsi="Calibri" w:cs="Calibri"/>
          <w:sz w:val="22"/>
        </w:rPr>
        <w:t>poważne awarie przemysłowe</w:t>
      </w:r>
    </w:p>
    <w:p w:rsidR="00B57A92" w:rsidRDefault="00E07F91" w:rsidP="00E07F91">
      <w:pPr>
        <w:pStyle w:val="Akapitzlist"/>
        <w:numPr>
          <w:ilvl w:val="0"/>
          <w:numId w:val="45"/>
        </w:numPr>
        <w:ind w:left="426" w:hanging="284"/>
        <w:jc w:val="both"/>
        <w:rPr>
          <w:rFonts w:ascii="Calibri" w:hAnsi="Calibri" w:cs="Calibri"/>
          <w:sz w:val="22"/>
        </w:rPr>
      </w:pPr>
      <w:r>
        <w:rPr>
          <w:rFonts w:ascii="Calibri" w:hAnsi="Calibri" w:cs="Calibri"/>
          <w:sz w:val="22"/>
        </w:rPr>
        <w:t>działania systemowe</w:t>
      </w:r>
    </w:p>
    <w:p w:rsidR="00E07F91" w:rsidRPr="00E07F91" w:rsidRDefault="00E07F91" w:rsidP="00E07F91">
      <w:pPr>
        <w:pStyle w:val="Akapitzlist"/>
        <w:numPr>
          <w:ilvl w:val="0"/>
          <w:numId w:val="18"/>
        </w:numPr>
        <w:jc w:val="both"/>
        <w:rPr>
          <w:rFonts w:ascii="Calibri" w:hAnsi="Calibri" w:cs="Calibri"/>
          <w:i/>
          <w:iCs/>
        </w:rPr>
      </w:pPr>
      <w:r>
        <w:rPr>
          <w:rFonts w:ascii="Calibri" w:hAnsi="Calibri" w:cs="Calibri"/>
          <w:sz w:val="22"/>
        </w:rPr>
        <w:t>edukacja dla zrównoważonego rozwoju</w:t>
      </w:r>
    </w:p>
    <w:p w:rsidR="00E07F91" w:rsidRPr="0026706F" w:rsidRDefault="00E07F91" w:rsidP="00E07F91">
      <w:pPr>
        <w:pStyle w:val="Akapitzlist"/>
        <w:numPr>
          <w:ilvl w:val="0"/>
          <w:numId w:val="18"/>
        </w:numPr>
        <w:jc w:val="both"/>
        <w:rPr>
          <w:rFonts w:ascii="Calibri" w:hAnsi="Calibri" w:cs="Calibri"/>
          <w:i/>
          <w:iCs/>
        </w:rPr>
      </w:pPr>
      <w:r>
        <w:rPr>
          <w:rFonts w:ascii="Calibri" w:hAnsi="Calibri" w:cs="Calibri"/>
          <w:sz w:val="22"/>
        </w:rPr>
        <w:t>uwzględnienie zasad ochrony środowiska w strategiach sektorowych</w:t>
      </w:r>
    </w:p>
    <w:p w:rsidR="0026706F" w:rsidRPr="0026706F" w:rsidRDefault="0026706F" w:rsidP="00E07F91">
      <w:pPr>
        <w:pStyle w:val="Akapitzlist"/>
        <w:numPr>
          <w:ilvl w:val="0"/>
          <w:numId w:val="18"/>
        </w:numPr>
        <w:jc w:val="both"/>
        <w:rPr>
          <w:rFonts w:ascii="Calibri" w:hAnsi="Calibri" w:cs="Calibri"/>
          <w:i/>
          <w:iCs/>
        </w:rPr>
      </w:pPr>
      <w:r>
        <w:rPr>
          <w:rFonts w:ascii="Calibri" w:hAnsi="Calibri" w:cs="Calibri"/>
          <w:sz w:val="22"/>
        </w:rPr>
        <w:t>aspekt ekologiczny w planowaniu przestrzennym</w:t>
      </w:r>
    </w:p>
    <w:p w:rsidR="0026706F" w:rsidRPr="0026706F" w:rsidRDefault="0026706F" w:rsidP="00E07F91">
      <w:pPr>
        <w:pStyle w:val="Akapitzlist"/>
        <w:numPr>
          <w:ilvl w:val="0"/>
          <w:numId w:val="18"/>
        </w:numPr>
        <w:jc w:val="both"/>
        <w:rPr>
          <w:rFonts w:ascii="Calibri" w:hAnsi="Calibri" w:cs="Calibri"/>
          <w:i/>
          <w:iCs/>
        </w:rPr>
      </w:pPr>
      <w:r>
        <w:rPr>
          <w:rFonts w:ascii="Calibri" w:hAnsi="Calibri" w:cs="Calibri"/>
          <w:sz w:val="22"/>
        </w:rPr>
        <w:t>aktywizacja rynku na rzecz ochrony środowiska</w:t>
      </w:r>
    </w:p>
    <w:p w:rsidR="0026706F" w:rsidRPr="0026706F" w:rsidRDefault="0026706F" w:rsidP="00E07F91">
      <w:pPr>
        <w:pStyle w:val="Akapitzlist"/>
        <w:numPr>
          <w:ilvl w:val="0"/>
          <w:numId w:val="18"/>
        </w:numPr>
        <w:jc w:val="both"/>
        <w:rPr>
          <w:rFonts w:ascii="Calibri" w:hAnsi="Calibri" w:cs="Calibri"/>
          <w:i/>
          <w:iCs/>
        </w:rPr>
      </w:pPr>
      <w:r>
        <w:rPr>
          <w:rFonts w:ascii="Calibri" w:hAnsi="Calibri" w:cs="Calibri"/>
          <w:sz w:val="22"/>
        </w:rPr>
        <w:t>zarządzanie środowiskowe</w:t>
      </w:r>
    </w:p>
    <w:p w:rsidR="0026706F" w:rsidRPr="0026706F" w:rsidRDefault="0026706F" w:rsidP="00E07F91">
      <w:pPr>
        <w:pStyle w:val="Akapitzlist"/>
        <w:numPr>
          <w:ilvl w:val="0"/>
          <w:numId w:val="18"/>
        </w:numPr>
        <w:jc w:val="both"/>
        <w:rPr>
          <w:rFonts w:ascii="Calibri" w:hAnsi="Calibri" w:cs="Calibri"/>
          <w:i/>
          <w:iCs/>
        </w:rPr>
      </w:pPr>
      <w:r>
        <w:rPr>
          <w:rFonts w:ascii="Calibri" w:hAnsi="Calibri" w:cs="Calibri"/>
          <w:sz w:val="22"/>
        </w:rPr>
        <w:t>rozwój badań i postęp techniczny</w:t>
      </w:r>
    </w:p>
    <w:p w:rsidR="0026706F" w:rsidRPr="00E07F91" w:rsidRDefault="0026706F" w:rsidP="00E07F91">
      <w:pPr>
        <w:pStyle w:val="Akapitzlist"/>
        <w:numPr>
          <w:ilvl w:val="0"/>
          <w:numId w:val="18"/>
        </w:numPr>
        <w:jc w:val="both"/>
        <w:rPr>
          <w:rFonts w:ascii="Calibri" w:hAnsi="Calibri" w:cs="Calibri"/>
          <w:i/>
          <w:iCs/>
        </w:rPr>
      </w:pPr>
      <w:r>
        <w:rPr>
          <w:rFonts w:ascii="Calibri" w:hAnsi="Calibri" w:cs="Calibri"/>
          <w:sz w:val="22"/>
        </w:rPr>
        <w:t>odpowiedzialność za szkody w środowisku</w:t>
      </w:r>
    </w:p>
    <w:p w:rsidR="00912124" w:rsidRDefault="00912124" w:rsidP="00C56D36">
      <w:pPr>
        <w:spacing w:before="240" w:after="0"/>
        <w:jc w:val="both"/>
        <w:rPr>
          <w:rFonts w:ascii="Calibri" w:hAnsi="Calibri" w:cs="Calibri"/>
        </w:rPr>
      </w:pPr>
      <w:r>
        <w:rPr>
          <w:rFonts w:ascii="Calibri" w:hAnsi="Calibri" w:cs="Calibri"/>
          <w:b/>
          <w:color w:val="943634" w:themeColor="accent2" w:themeShade="BF"/>
        </w:rPr>
        <w:t>Plan zagospodarowania przestrzennego województwa wielkopolskiego</w:t>
      </w:r>
      <w:r w:rsidR="0043725A">
        <w:rPr>
          <w:rFonts w:ascii="Calibri" w:hAnsi="Calibri" w:cs="Calibri"/>
        </w:rPr>
        <w:t xml:space="preserve"> (uchwalony 26.04.2010 r.)</w:t>
      </w:r>
    </w:p>
    <w:p w:rsidR="0043725A" w:rsidRPr="0043725A" w:rsidRDefault="0043725A" w:rsidP="0043725A">
      <w:pPr>
        <w:spacing w:after="0"/>
        <w:jc w:val="both"/>
        <w:rPr>
          <w:rFonts w:ascii="Calibri" w:hAnsi="Calibri" w:cs="Calibri"/>
        </w:rPr>
      </w:pPr>
      <w:r>
        <w:rPr>
          <w:rFonts w:ascii="Calibri" w:hAnsi="Calibri" w:cs="Calibri"/>
        </w:rPr>
        <w:t xml:space="preserve">Celem planu jest zrównoważony rozwój przestrzenny regionu jako jedna z podstaw wzrostu poziomu życia mieszkańców. </w:t>
      </w:r>
      <w:r w:rsidRPr="0043725A">
        <w:rPr>
          <w:rFonts w:ascii="Calibri" w:hAnsi="Calibri" w:cs="Calibri"/>
        </w:rPr>
        <w:t>Realizacja tego celu opiera</w:t>
      </w:r>
      <w:r w:rsidRPr="0043725A">
        <w:rPr>
          <w:rFonts w:ascii="Calibri" w:hAnsi="Calibri" w:cs="Calibri" w:hint="eastAsia"/>
        </w:rPr>
        <w:t>ć</w:t>
      </w:r>
      <w:r w:rsidRPr="0043725A">
        <w:rPr>
          <w:rFonts w:ascii="Calibri" w:hAnsi="Calibri" w:cs="Calibri"/>
        </w:rPr>
        <w:t xml:space="preserve"> si</w:t>
      </w:r>
      <w:r w:rsidRPr="0043725A">
        <w:rPr>
          <w:rFonts w:ascii="Calibri" w:hAnsi="Calibri" w:cs="Calibri" w:hint="eastAsia"/>
        </w:rPr>
        <w:t>ę</w:t>
      </w:r>
      <w:r w:rsidRPr="0043725A">
        <w:rPr>
          <w:rFonts w:ascii="Calibri" w:hAnsi="Calibri" w:cs="Calibri"/>
        </w:rPr>
        <w:t xml:space="preserve"> b</w:t>
      </w:r>
      <w:r w:rsidRPr="0043725A">
        <w:rPr>
          <w:rFonts w:ascii="Calibri" w:hAnsi="Calibri" w:cs="Calibri" w:hint="eastAsia"/>
        </w:rPr>
        <w:t>ę</w:t>
      </w:r>
      <w:r w:rsidRPr="0043725A">
        <w:rPr>
          <w:rFonts w:ascii="Calibri" w:hAnsi="Calibri" w:cs="Calibri"/>
        </w:rPr>
        <w:t>dzie na dwóch celach szczegółowych:</w:t>
      </w:r>
    </w:p>
    <w:p w:rsidR="0043725A" w:rsidRPr="00286E17" w:rsidRDefault="0043725A" w:rsidP="00286E17">
      <w:pPr>
        <w:pStyle w:val="Akapitzlist"/>
        <w:numPr>
          <w:ilvl w:val="0"/>
          <w:numId w:val="46"/>
        </w:numPr>
        <w:ind w:left="426" w:hanging="284"/>
        <w:jc w:val="both"/>
        <w:rPr>
          <w:rFonts w:ascii="Calibri" w:hAnsi="Calibri" w:cs="Calibri"/>
          <w:sz w:val="22"/>
        </w:rPr>
      </w:pPr>
      <w:r w:rsidRPr="00286E17">
        <w:rPr>
          <w:rFonts w:ascii="Calibri" w:hAnsi="Calibri" w:cs="Calibri"/>
          <w:sz w:val="22"/>
        </w:rPr>
        <w:t>Dostosowanie przestrzeni do wyzwa</w:t>
      </w:r>
      <w:r w:rsidRPr="00286E17">
        <w:rPr>
          <w:rFonts w:ascii="Calibri" w:hAnsi="Calibri" w:cs="Calibri" w:hint="eastAsia"/>
          <w:sz w:val="22"/>
        </w:rPr>
        <w:t>ń</w:t>
      </w:r>
      <w:r w:rsidRPr="00286E17">
        <w:rPr>
          <w:rFonts w:ascii="Calibri" w:hAnsi="Calibri" w:cs="Calibri"/>
          <w:sz w:val="22"/>
        </w:rPr>
        <w:t xml:space="preserve"> XXI wieku poprzez:</w:t>
      </w:r>
    </w:p>
    <w:p w:rsidR="0043725A" w:rsidRPr="0043725A" w:rsidRDefault="0043725A" w:rsidP="00286E17">
      <w:pPr>
        <w:spacing w:after="0"/>
        <w:ind w:left="851" w:hanging="284"/>
        <w:jc w:val="both"/>
        <w:rPr>
          <w:rFonts w:ascii="Calibri" w:hAnsi="Calibri" w:cs="Calibri"/>
        </w:rPr>
      </w:pPr>
      <w:r w:rsidRPr="0043725A">
        <w:rPr>
          <w:rFonts w:ascii="Calibri" w:hAnsi="Calibri" w:cs="Calibri"/>
        </w:rPr>
        <w:t>•</w:t>
      </w:r>
      <w:r w:rsidRPr="0043725A">
        <w:rPr>
          <w:rFonts w:ascii="Calibri" w:hAnsi="Calibri" w:cs="Calibri" w:hint="eastAsia"/>
        </w:rPr>
        <w:t xml:space="preserve"> </w:t>
      </w:r>
      <w:r w:rsidRPr="0043725A">
        <w:rPr>
          <w:rFonts w:ascii="Calibri" w:hAnsi="Calibri" w:cs="Calibri"/>
        </w:rPr>
        <w:t>Popraw</w:t>
      </w:r>
      <w:r w:rsidRPr="0043725A">
        <w:rPr>
          <w:rFonts w:ascii="Calibri" w:hAnsi="Calibri" w:cs="Calibri" w:hint="eastAsia"/>
        </w:rPr>
        <w:t>ę</w:t>
      </w:r>
      <w:r w:rsidRPr="0043725A">
        <w:rPr>
          <w:rFonts w:ascii="Calibri" w:hAnsi="Calibri" w:cs="Calibri"/>
        </w:rPr>
        <w:t xml:space="preserve"> stanu </w:t>
      </w:r>
      <w:r w:rsidRPr="0043725A">
        <w:rPr>
          <w:rFonts w:ascii="Calibri" w:hAnsi="Calibri" w:cs="Calibri" w:hint="eastAsia"/>
        </w:rPr>
        <w:t>ś</w:t>
      </w:r>
      <w:r w:rsidRPr="0043725A">
        <w:rPr>
          <w:rFonts w:ascii="Calibri" w:hAnsi="Calibri" w:cs="Calibri"/>
        </w:rPr>
        <w:t>rodowiska i racjonalne gospodarowanie zasobami</w:t>
      </w:r>
      <w:r>
        <w:rPr>
          <w:rFonts w:ascii="Calibri" w:hAnsi="Calibri" w:cs="Calibri"/>
        </w:rPr>
        <w:t xml:space="preserve"> </w:t>
      </w:r>
      <w:r w:rsidRPr="0043725A">
        <w:rPr>
          <w:rFonts w:ascii="Calibri" w:hAnsi="Calibri" w:cs="Calibri"/>
        </w:rPr>
        <w:t>przyrodniczymi,</w:t>
      </w:r>
    </w:p>
    <w:p w:rsidR="0043725A" w:rsidRPr="0043725A" w:rsidRDefault="0043725A" w:rsidP="00286E17">
      <w:pPr>
        <w:spacing w:after="0"/>
        <w:ind w:left="851" w:hanging="284"/>
        <w:jc w:val="both"/>
        <w:rPr>
          <w:rFonts w:ascii="Calibri" w:hAnsi="Calibri" w:cs="Calibri"/>
        </w:rPr>
      </w:pPr>
      <w:r w:rsidRPr="0043725A">
        <w:rPr>
          <w:rFonts w:ascii="Calibri" w:hAnsi="Calibri" w:cs="Calibri"/>
        </w:rPr>
        <w:t>•</w:t>
      </w:r>
      <w:r w:rsidRPr="0043725A">
        <w:rPr>
          <w:rFonts w:ascii="Calibri" w:hAnsi="Calibri" w:cs="Calibri" w:hint="eastAsia"/>
        </w:rPr>
        <w:t xml:space="preserve"> </w:t>
      </w:r>
      <w:r w:rsidRPr="0043725A">
        <w:rPr>
          <w:rFonts w:ascii="Calibri" w:hAnsi="Calibri" w:cs="Calibri"/>
        </w:rPr>
        <w:t>Wzrost spójności komunikacyjnej oraz powi</w:t>
      </w:r>
      <w:r w:rsidRPr="0043725A">
        <w:rPr>
          <w:rFonts w:ascii="Calibri" w:hAnsi="Calibri" w:cs="Calibri" w:hint="eastAsia"/>
        </w:rPr>
        <w:t>ą</w:t>
      </w:r>
      <w:r w:rsidRPr="0043725A">
        <w:rPr>
          <w:rFonts w:ascii="Calibri" w:hAnsi="Calibri" w:cs="Calibri"/>
        </w:rPr>
        <w:t>za</w:t>
      </w:r>
      <w:r w:rsidRPr="0043725A">
        <w:rPr>
          <w:rFonts w:ascii="Calibri" w:hAnsi="Calibri" w:cs="Calibri" w:hint="eastAsia"/>
        </w:rPr>
        <w:t>ń</w:t>
      </w:r>
      <w:r w:rsidRPr="0043725A">
        <w:rPr>
          <w:rFonts w:ascii="Calibri" w:hAnsi="Calibri" w:cs="Calibri"/>
        </w:rPr>
        <w:t xml:space="preserve"> z otoczeniem,</w:t>
      </w:r>
    </w:p>
    <w:p w:rsidR="0043725A" w:rsidRPr="0043725A" w:rsidRDefault="0043725A" w:rsidP="00286E17">
      <w:pPr>
        <w:spacing w:after="0"/>
        <w:ind w:left="851" w:hanging="284"/>
        <w:jc w:val="both"/>
        <w:rPr>
          <w:rFonts w:ascii="Calibri" w:hAnsi="Calibri" w:cs="Calibri"/>
        </w:rPr>
      </w:pPr>
      <w:r w:rsidRPr="0043725A">
        <w:rPr>
          <w:rFonts w:ascii="Calibri" w:hAnsi="Calibri" w:cs="Calibri"/>
        </w:rPr>
        <w:t>•</w:t>
      </w:r>
      <w:r w:rsidRPr="0043725A">
        <w:rPr>
          <w:rFonts w:ascii="Calibri" w:hAnsi="Calibri" w:cs="Calibri" w:hint="eastAsia"/>
        </w:rPr>
        <w:t xml:space="preserve"> </w:t>
      </w:r>
      <w:r w:rsidRPr="0043725A">
        <w:rPr>
          <w:rFonts w:ascii="Calibri" w:hAnsi="Calibri" w:cs="Calibri"/>
        </w:rPr>
        <w:t>Wzrost znaczenia i zachowanie dziedzictwa kulturowego,</w:t>
      </w:r>
    </w:p>
    <w:p w:rsidR="0043725A" w:rsidRPr="0043725A" w:rsidRDefault="0043725A" w:rsidP="00286E17">
      <w:pPr>
        <w:spacing w:after="0"/>
        <w:ind w:left="851" w:hanging="284"/>
        <w:jc w:val="both"/>
        <w:rPr>
          <w:rFonts w:ascii="Calibri" w:hAnsi="Calibri" w:cs="Calibri"/>
        </w:rPr>
      </w:pPr>
      <w:r w:rsidRPr="0043725A">
        <w:rPr>
          <w:rFonts w:ascii="Calibri" w:hAnsi="Calibri" w:cs="Calibri"/>
        </w:rPr>
        <w:t>•</w:t>
      </w:r>
      <w:r w:rsidRPr="0043725A">
        <w:rPr>
          <w:rFonts w:ascii="Calibri" w:hAnsi="Calibri" w:cs="Calibri" w:hint="eastAsia"/>
        </w:rPr>
        <w:t xml:space="preserve"> </w:t>
      </w:r>
      <w:r w:rsidRPr="0043725A">
        <w:rPr>
          <w:rFonts w:ascii="Calibri" w:hAnsi="Calibri" w:cs="Calibri"/>
        </w:rPr>
        <w:t>Popraw</w:t>
      </w:r>
      <w:r w:rsidRPr="0043725A">
        <w:rPr>
          <w:rFonts w:ascii="Calibri" w:hAnsi="Calibri" w:cs="Calibri" w:hint="eastAsia"/>
        </w:rPr>
        <w:t>ę</w:t>
      </w:r>
      <w:r w:rsidRPr="0043725A">
        <w:rPr>
          <w:rFonts w:ascii="Calibri" w:hAnsi="Calibri" w:cs="Calibri"/>
        </w:rPr>
        <w:t xml:space="preserve"> jako</w:t>
      </w:r>
      <w:r w:rsidRPr="0043725A">
        <w:rPr>
          <w:rFonts w:ascii="Calibri" w:hAnsi="Calibri" w:cs="Calibri" w:hint="eastAsia"/>
        </w:rPr>
        <w:t>ś</w:t>
      </w:r>
      <w:r w:rsidRPr="0043725A">
        <w:rPr>
          <w:rFonts w:ascii="Calibri" w:hAnsi="Calibri" w:cs="Calibri"/>
        </w:rPr>
        <w:t>ci rolniczej przestrzeni produkcyjnej,</w:t>
      </w:r>
    </w:p>
    <w:p w:rsidR="0043725A" w:rsidRPr="0043725A" w:rsidRDefault="0043725A" w:rsidP="00286E17">
      <w:pPr>
        <w:spacing w:after="0"/>
        <w:ind w:left="851" w:hanging="284"/>
        <w:jc w:val="both"/>
        <w:rPr>
          <w:rFonts w:ascii="Calibri" w:hAnsi="Calibri" w:cs="Calibri"/>
        </w:rPr>
      </w:pPr>
      <w:r w:rsidRPr="0043725A">
        <w:rPr>
          <w:rFonts w:ascii="Calibri" w:hAnsi="Calibri" w:cs="Calibri"/>
        </w:rPr>
        <w:t>•</w:t>
      </w:r>
      <w:r w:rsidRPr="0043725A">
        <w:rPr>
          <w:rFonts w:ascii="Calibri" w:hAnsi="Calibri" w:cs="Calibri" w:hint="eastAsia"/>
        </w:rPr>
        <w:t xml:space="preserve"> </w:t>
      </w:r>
      <w:r w:rsidRPr="0043725A">
        <w:rPr>
          <w:rFonts w:ascii="Calibri" w:hAnsi="Calibri" w:cs="Calibri"/>
        </w:rPr>
        <w:t>Przygotowanie i racjonalne wykorzystanie terenów inwestycyjnych,</w:t>
      </w:r>
    </w:p>
    <w:p w:rsidR="0043725A" w:rsidRPr="0043725A" w:rsidRDefault="0043725A" w:rsidP="00286E17">
      <w:pPr>
        <w:spacing w:after="0"/>
        <w:ind w:left="851" w:hanging="284"/>
        <w:jc w:val="both"/>
        <w:rPr>
          <w:rFonts w:ascii="Calibri" w:hAnsi="Calibri" w:cs="Calibri"/>
        </w:rPr>
      </w:pPr>
      <w:r w:rsidRPr="0043725A">
        <w:rPr>
          <w:rFonts w:ascii="Calibri" w:hAnsi="Calibri" w:cs="Calibri"/>
        </w:rPr>
        <w:t>•</w:t>
      </w:r>
      <w:r w:rsidRPr="0043725A">
        <w:rPr>
          <w:rFonts w:ascii="Calibri" w:hAnsi="Calibri" w:cs="Calibri" w:hint="eastAsia"/>
        </w:rPr>
        <w:t xml:space="preserve"> </w:t>
      </w:r>
      <w:r>
        <w:rPr>
          <w:rFonts w:ascii="Calibri" w:hAnsi="Calibri" w:cs="Calibri"/>
        </w:rPr>
        <w:t>Wzmocnienie regionotwó</w:t>
      </w:r>
      <w:r w:rsidRPr="0043725A">
        <w:rPr>
          <w:rFonts w:ascii="Calibri" w:hAnsi="Calibri" w:cs="Calibri"/>
        </w:rPr>
        <w:t xml:space="preserve">rczych funkcji Poznania </w:t>
      </w:r>
      <w:r w:rsidRPr="0043725A">
        <w:rPr>
          <w:rFonts w:ascii="Calibri" w:hAnsi="Calibri" w:cs="Calibri" w:hint="eastAsia"/>
        </w:rPr>
        <w:t>–</w:t>
      </w:r>
      <w:r w:rsidRPr="0043725A">
        <w:rPr>
          <w:rFonts w:ascii="Calibri" w:hAnsi="Calibri" w:cs="Calibri"/>
        </w:rPr>
        <w:t xml:space="preserve"> miasta o charakterze</w:t>
      </w:r>
      <w:r>
        <w:rPr>
          <w:rFonts w:ascii="Calibri" w:hAnsi="Calibri" w:cs="Calibri"/>
        </w:rPr>
        <w:t xml:space="preserve"> </w:t>
      </w:r>
      <w:r w:rsidRPr="0043725A">
        <w:rPr>
          <w:rFonts w:ascii="Calibri" w:hAnsi="Calibri" w:cs="Calibri"/>
        </w:rPr>
        <w:t>europola o znaczeniu krajowym oraz Kalisza i Ostrowa Wielkopolskiego</w:t>
      </w:r>
      <w:r>
        <w:rPr>
          <w:rFonts w:ascii="Calibri" w:hAnsi="Calibri" w:cs="Calibri"/>
        </w:rPr>
        <w:t xml:space="preserve"> </w:t>
      </w:r>
      <w:r w:rsidRPr="0043725A">
        <w:rPr>
          <w:rFonts w:ascii="Calibri" w:hAnsi="Calibri" w:cs="Calibri"/>
        </w:rPr>
        <w:t>jako dwubiegunowego uk</w:t>
      </w:r>
      <w:r w:rsidRPr="0043725A">
        <w:rPr>
          <w:rFonts w:ascii="Calibri" w:hAnsi="Calibri" w:cs="Calibri" w:hint="eastAsia"/>
        </w:rPr>
        <w:t>ł</w:t>
      </w:r>
      <w:r w:rsidRPr="0043725A">
        <w:rPr>
          <w:rFonts w:ascii="Calibri" w:hAnsi="Calibri" w:cs="Calibri"/>
        </w:rPr>
        <w:t>adu miejskiego o znaczeniu ponadregionalnym,</w:t>
      </w:r>
    </w:p>
    <w:p w:rsidR="0043725A" w:rsidRPr="0043725A" w:rsidRDefault="0043725A" w:rsidP="00286E17">
      <w:pPr>
        <w:spacing w:after="0"/>
        <w:ind w:left="851" w:hanging="284"/>
        <w:jc w:val="both"/>
        <w:rPr>
          <w:rFonts w:ascii="Calibri" w:hAnsi="Calibri" w:cs="Calibri"/>
        </w:rPr>
      </w:pPr>
      <w:r w:rsidRPr="0043725A">
        <w:rPr>
          <w:rFonts w:ascii="Calibri" w:hAnsi="Calibri" w:cs="Calibri"/>
        </w:rPr>
        <w:t>•</w:t>
      </w:r>
      <w:r w:rsidRPr="0043725A">
        <w:rPr>
          <w:rFonts w:ascii="Calibri" w:hAnsi="Calibri" w:cs="Calibri" w:hint="eastAsia"/>
        </w:rPr>
        <w:t xml:space="preserve"> </w:t>
      </w:r>
      <w:r w:rsidRPr="0043725A">
        <w:rPr>
          <w:rFonts w:ascii="Calibri" w:hAnsi="Calibri" w:cs="Calibri"/>
        </w:rPr>
        <w:t>Wielofunkcyjny rozwój ośrodków regionalnych i lokalnych,</w:t>
      </w:r>
    </w:p>
    <w:p w:rsidR="0043725A" w:rsidRPr="0043725A" w:rsidRDefault="0043725A" w:rsidP="00286E17">
      <w:pPr>
        <w:spacing w:after="0"/>
        <w:ind w:left="851" w:hanging="284"/>
        <w:jc w:val="both"/>
        <w:rPr>
          <w:rFonts w:ascii="Calibri" w:hAnsi="Calibri" w:cs="Calibri"/>
        </w:rPr>
      </w:pPr>
      <w:r w:rsidRPr="0043725A">
        <w:rPr>
          <w:rFonts w:ascii="Calibri" w:hAnsi="Calibri" w:cs="Calibri"/>
        </w:rPr>
        <w:t>•</w:t>
      </w:r>
      <w:r w:rsidRPr="0043725A">
        <w:rPr>
          <w:rFonts w:ascii="Calibri" w:hAnsi="Calibri" w:cs="Calibri" w:hint="eastAsia"/>
        </w:rPr>
        <w:t xml:space="preserve"> </w:t>
      </w:r>
      <w:r w:rsidRPr="0043725A">
        <w:rPr>
          <w:rFonts w:ascii="Calibri" w:hAnsi="Calibri" w:cs="Calibri"/>
        </w:rPr>
        <w:t>Restrukturyzacj</w:t>
      </w:r>
      <w:r w:rsidRPr="0043725A">
        <w:rPr>
          <w:rFonts w:ascii="Calibri" w:hAnsi="Calibri" w:cs="Calibri" w:hint="eastAsia"/>
        </w:rPr>
        <w:t>ę</w:t>
      </w:r>
      <w:r w:rsidRPr="0043725A">
        <w:rPr>
          <w:rFonts w:ascii="Calibri" w:hAnsi="Calibri" w:cs="Calibri"/>
        </w:rPr>
        <w:t xml:space="preserve"> obszarów o ograniczonym potencjale rozwojowym;</w:t>
      </w:r>
    </w:p>
    <w:p w:rsidR="0043725A" w:rsidRPr="00286E17" w:rsidRDefault="0043725A" w:rsidP="00286E17">
      <w:pPr>
        <w:pStyle w:val="Akapitzlist"/>
        <w:numPr>
          <w:ilvl w:val="0"/>
          <w:numId w:val="46"/>
        </w:numPr>
        <w:ind w:left="426" w:hanging="284"/>
        <w:jc w:val="both"/>
        <w:rPr>
          <w:rFonts w:ascii="Calibri" w:hAnsi="Calibri" w:cs="Calibri"/>
          <w:sz w:val="22"/>
        </w:rPr>
      </w:pPr>
      <w:r w:rsidRPr="00286E17">
        <w:rPr>
          <w:rFonts w:ascii="Calibri" w:hAnsi="Calibri" w:cs="Calibri"/>
          <w:sz w:val="22"/>
        </w:rPr>
        <w:t>Zwi</w:t>
      </w:r>
      <w:r w:rsidRPr="00286E17">
        <w:rPr>
          <w:rFonts w:ascii="Calibri" w:hAnsi="Calibri" w:cs="Calibri" w:hint="eastAsia"/>
          <w:sz w:val="22"/>
        </w:rPr>
        <w:t>ę</w:t>
      </w:r>
      <w:r w:rsidRPr="00286E17">
        <w:rPr>
          <w:rFonts w:ascii="Calibri" w:hAnsi="Calibri" w:cs="Calibri"/>
          <w:sz w:val="22"/>
        </w:rPr>
        <w:t>kszenie efektywno</w:t>
      </w:r>
      <w:r w:rsidRPr="00286E17">
        <w:rPr>
          <w:rFonts w:ascii="Calibri" w:hAnsi="Calibri" w:cs="Calibri" w:hint="eastAsia"/>
          <w:sz w:val="22"/>
        </w:rPr>
        <w:t>ś</w:t>
      </w:r>
      <w:r w:rsidRPr="00286E17">
        <w:rPr>
          <w:rFonts w:ascii="Calibri" w:hAnsi="Calibri" w:cs="Calibri"/>
          <w:sz w:val="22"/>
        </w:rPr>
        <w:t>ci wykorzystania potencjałów rozwojowych</w:t>
      </w:r>
      <w:r w:rsidR="00286E17" w:rsidRPr="00286E17">
        <w:rPr>
          <w:rFonts w:ascii="Calibri" w:hAnsi="Calibri" w:cs="Calibri"/>
          <w:sz w:val="22"/>
        </w:rPr>
        <w:t xml:space="preserve"> </w:t>
      </w:r>
      <w:r w:rsidRPr="00286E17">
        <w:rPr>
          <w:rFonts w:ascii="Calibri" w:hAnsi="Calibri" w:cs="Calibri"/>
          <w:sz w:val="22"/>
        </w:rPr>
        <w:t>województwa poprzez:</w:t>
      </w:r>
    </w:p>
    <w:p w:rsidR="0043725A" w:rsidRPr="0043725A" w:rsidRDefault="0043725A" w:rsidP="00286E17">
      <w:pPr>
        <w:spacing w:after="0"/>
        <w:ind w:firstLine="567"/>
        <w:jc w:val="both"/>
        <w:rPr>
          <w:rFonts w:ascii="Calibri" w:hAnsi="Calibri" w:cs="Calibri"/>
        </w:rPr>
      </w:pPr>
      <w:r w:rsidRPr="0043725A">
        <w:rPr>
          <w:rFonts w:ascii="Calibri" w:hAnsi="Calibri" w:cs="Calibri"/>
        </w:rPr>
        <w:t>•</w:t>
      </w:r>
      <w:r w:rsidRPr="0043725A">
        <w:rPr>
          <w:rFonts w:ascii="Calibri" w:hAnsi="Calibri" w:cs="Calibri" w:hint="eastAsia"/>
        </w:rPr>
        <w:t xml:space="preserve"> </w:t>
      </w:r>
      <w:r w:rsidRPr="0043725A">
        <w:rPr>
          <w:rFonts w:ascii="Calibri" w:hAnsi="Calibri" w:cs="Calibri"/>
        </w:rPr>
        <w:t>Wzrost konkurencyjno</w:t>
      </w:r>
      <w:r w:rsidRPr="0043725A">
        <w:rPr>
          <w:rFonts w:ascii="Calibri" w:hAnsi="Calibri" w:cs="Calibri" w:hint="eastAsia"/>
        </w:rPr>
        <w:t>ś</w:t>
      </w:r>
      <w:r w:rsidRPr="0043725A">
        <w:rPr>
          <w:rFonts w:ascii="Calibri" w:hAnsi="Calibri" w:cs="Calibri"/>
        </w:rPr>
        <w:t>ci przedsi</w:t>
      </w:r>
      <w:r w:rsidRPr="0043725A">
        <w:rPr>
          <w:rFonts w:ascii="Calibri" w:hAnsi="Calibri" w:cs="Calibri" w:hint="eastAsia"/>
        </w:rPr>
        <w:t>ę</w:t>
      </w:r>
      <w:r w:rsidRPr="0043725A">
        <w:rPr>
          <w:rFonts w:ascii="Calibri" w:hAnsi="Calibri" w:cs="Calibri"/>
        </w:rPr>
        <w:t>biorstw,</w:t>
      </w:r>
    </w:p>
    <w:p w:rsidR="0043725A" w:rsidRPr="0043725A" w:rsidRDefault="0043725A" w:rsidP="00286E17">
      <w:pPr>
        <w:spacing w:after="0"/>
        <w:ind w:firstLine="567"/>
        <w:jc w:val="both"/>
        <w:rPr>
          <w:rFonts w:ascii="Calibri" w:hAnsi="Calibri" w:cs="Calibri"/>
        </w:rPr>
      </w:pPr>
      <w:r w:rsidRPr="0043725A">
        <w:rPr>
          <w:rFonts w:ascii="Calibri" w:hAnsi="Calibri" w:cs="Calibri"/>
        </w:rPr>
        <w:t>•</w:t>
      </w:r>
      <w:r w:rsidRPr="0043725A">
        <w:rPr>
          <w:rFonts w:ascii="Calibri" w:hAnsi="Calibri" w:cs="Calibri" w:hint="eastAsia"/>
        </w:rPr>
        <w:t xml:space="preserve"> </w:t>
      </w:r>
      <w:r w:rsidRPr="0043725A">
        <w:rPr>
          <w:rFonts w:ascii="Calibri" w:hAnsi="Calibri" w:cs="Calibri"/>
        </w:rPr>
        <w:t>Wzrost udzia</w:t>
      </w:r>
      <w:r w:rsidRPr="0043725A">
        <w:rPr>
          <w:rFonts w:ascii="Calibri" w:hAnsi="Calibri" w:cs="Calibri" w:hint="eastAsia"/>
        </w:rPr>
        <w:t>ł</w:t>
      </w:r>
      <w:r w:rsidRPr="0043725A">
        <w:rPr>
          <w:rFonts w:ascii="Calibri" w:hAnsi="Calibri" w:cs="Calibri"/>
        </w:rPr>
        <w:t>u nauki i bada</w:t>
      </w:r>
      <w:r w:rsidRPr="0043725A">
        <w:rPr>
          <w:rFonts w:ascii="Calibri" w:hAnsi="Calibri" w:cs="Calibri" w:hint="eastAsia"/>
        </w:rPr>
        <w:t>ń</w:t>
      </w:r>
      <w:r w:rsidRPr="0043725A">
        <w:rPr>
          <w:rFonts w:ascii="Calibri" w:hAnsi="Calibri" w:cs="Calibri"/>
        </w:rPr>
        <w:t xml:space="preserve"> w rozwoju regionu,</w:t>
      </w:r>
    </w:p>
    <w:p w:rsidR="0043725A" w:rsidRPr="0043725A" w:rsidRDefault="0043725A" w:rsidP="00286E17">
      <w:pPr>
        <w:spacing w:after="0"/>
        <w:ind w:firstLine="567"/>
        <w:jc w:val="both"/>
        <w:rPr>
          <w:rFonts w:ascii="Calibri" w:hAnsi="Calibri" w:cs="Calibri"/>
        </w:rPr>
      </w:pPr>
      <w:r w:rsidRPr="0043725A">
        <w:rPr>
          <w:rFonts w:ascii="Calibri" w:hAnsi="Calibri" w:cs="Calibri"/>
        </w:rPr>
        <w:t>•</w:t>
      </w:r>
      <w:r w:rsidRPr="0043725A">
        <w:rPr>
          <w:rFonts w:ascii="Calibri" w:hAnsi="Calibri" w:cs="Calibri" w:hint="eastAsia"/>
        </w:rPr>
        <w:t xml:space="preserve"> </w:t>
      </w:r>
      <w:r w:rsidRPr="0043725A">
        <w:rPr>
          <w:rFonts w:ascii="Calibri" w:hAnsi="Calibri" w:cs="Calibri"/>
        </w:rPr>
        <w:t xml:space="preserve">Wzmocnienie gospodarstw rolnych oraz gospodarki </w:t>
      </w:r>
      <w:r w:rsidRPr="0043725A">
        <w:rPr>
          <w:rFonts w:ascii="Calibri" w:hAnsi="Calibri" w:cs="Calibri" w:hint="eastAsia"/>
        </w:rPr>
        <w:t>ż</w:t>
      </w:r>
      <w:r w:rsidRPr="0043725A">
        <w:rPr>
          <w:rFonts w:ascii="Calibri" w:hAnsi="Calibri" w:cs="Calibri"/>
        </w:rPr>
        <w:t>ywno</w:t>
      </w:r>
      <w:r w:rsidRPr="0043725A">
        <w:rPr>
          <w:rFonts w:ascii="Calibri" w:hAnsi="Calibri" w:cs="Calibri" w:hint="eastAsia"/>
        </w:rPr>
        <w:t>ś</w:t>
      </w:r>
      <w:r w:rsidRPr="0043725A">
        <w:rPr>
          <w:rFonts w:ascii="Calibri" w:hAnsi="Calibri" w:cs="Calibri"/>
        </w:rPr>
        <w:t>ciowej,</w:t>
      </w:r>
    </w:p>
    <w:p w:rsidR="0043725A" w:rsidRDefault="0043725A" w:rsidP="00286E17">
      <w:pPr>
        <w:spacing w:after="0"/>
        <w:ind w:firstLine="567"/>
        <w:jc w:val="both"/>
        <w:rPr>
          <w:rFonts w:ascii="Calibri" w:hAnsi="Calibri" w:cs="Calibri"/>
        </w:rPr>
      </w:pPr>
      <w:r w:rsidRPr="0043725A">
        <w:rPr>
          <w:rFonts w:ascii="Calibri" w:hAnsi="Calibri" w:cs="Calibri"/>
        </w:rPr>
        <w:t>•</w:t>
      </w:r>
      <w:r w:rsidRPr="0043725A">
        <w:rPr>
          <w:rFonts w:ascii="Calibri" w:hAnsi="Calibri" w:cs="Calibri" w:hint="eastAsia"/>
        </w:rPr>
        <w:t xml:space="preserve"> </w:t>
      </w:r>
      <w:r w:rsidRPr="0043725A">
        <w:rPr>
          <w:rFonts w:ascii="Calibri" w:hAnsi="Calibri" w:cs="Calibri"/>
        </w:rPr>
        <w:t>Zwi</w:t>
      </w:r>
      <w:r w:rsidRPr="0043725A">
        <w:rPr>
          <w:rFonts w:ascii="Calibri" w:hAnsi="Calibri" w:cs="Calibri" w:hint="eastAsia"/>
        </w:rPr>
        <w:t>ę</w:t>
      </w:r>
      <w:r w:rsidRPr="0043725A">
        <w:rPr>
          <w:rFonts w:ascii="Calibri" w:hAnsi="Calibri" w:cs="Calibri"/>
        </w:rPr>
        <w:t>kszenie udzia</w:t>
      </w:r>
      <w:r w:rsidRPr="0043725A">
        <w:rPr>
          <w:rFonts w:ascii="Calibri" w:hAnsi="Calibri" w:cs="Calibri" w:hint="eastAsia"/>
        </w:rPr>
        <w:t>ł</w:t>
      </w:r>
      <w:r w:rsidRPr="0043725A">
        <w:rPr>
          <w:rFonts w:ascii="Calibri" w:hAnsi="Calibri" w:cs="Calibri"/>
        </w:rPr>
        <w:t>u us</w:t>
      </w:r>
      <w:r w:rsidRPr="0043725A">
        <w:rPr>
          <w:rFonts w:ascii="Calibri" w:hAnsi="Calibri" w:cs="Calibri" w:hint="eastAsia"/>
        </w:rPr>
        <w:t>ł</w:t>
      </w:r>
      <w:r w:rsidRPr="0043725A">
        <w:rPr>
          <w:rFonts w:ascii="Calibri" w:hAnsi="Calibri" w:cs="Calibri"/>
        </w:rPr>
        <w:t>ug turystycznych i rekreacji w gospodarce regionu.</w:t>
      </w:r>
    </w:p>
    <w:p w:rsidR="00286E17" w:rsidRDefault="00286E17" w:rsidP="00286E17">
      <w:pPr>
        <w:spacing w:after="0"/>
        <w:jc w:val="both"/>
        <w:rPr>
          <w:rFonts w:ascii="Calibri" w:hAnsi="Calibri" w:cs="Calibri"/>
        </w:rPr>
      </w:pPr>
      <w:r>
        <w:rPr>
          <w:rFonts w:ascii="Calibri" w:hAnsi="Calibri" w:cs="Calibri"/>
        </w:rPr>
        <w:t xml:space="preserve">Pobiedziska należą do sfery wpływu miast regionalnych: Poznania i Gniezna. Rejon skocko-pobiedziski został w dokumencie uznany za jeden ze szczególnie zagrożonych obszarów w województwie pod względem </w:t>
      </w:r>
      <w:r w:rsidRPr="00286E17">
        <w:rPr>
          <w:rFonts w:ascii="Calibri" w:hAnsi="Calibri" w:cs="Calibri"/>
        </w:rPr>
        <w:t>nagromadzeni</w:t>
      </w:r>
      <w:r>
        <w:rPr>
          <w:rFonts w:ascii="Calibri" w:hAnsi="Calibri" w:cs="Calibri"/>
        </w:rPr>
        <w:t>a</w:t>
      </w:r>
      <w:r w:rsidRPr="00286E17">
        <w:rPr>
          <w:rFonts w:ascii="Calibri" w:hAnsi="Calibri" w:cs="Calibri"/>
        </w:rPr>
        <w:t xml:space="preserve"> sytuacji</w:t>
      </w:r>
      <w:r>
        <w:rPr>
          <w:rFonts w:ascii="Calibri" w:hAnsi="Calibri" w:cs="Calibri"/>
        </w:rPr>
        <w:t xml:space="preserve"> </w:t>
      </w:r>
      <w:r w:rsidRPr="00286E17">
        <w:rPr>
          <w:rFonts w:ascii="Calibri" w:hAnsi="Calibri" w:cs="Calibri"/>
        </w:rPr>
        <w:t>konfliktowych pomi</w:t>
      </w:r>
      <w:r w:rsidRPr="00286E17">
        <w:rPr>
          <w:rFonts w:ascii="Calibri" w:hAnsi="Calibri" w:cs="Calibri" w:hint="eastAsia"/>
        </w:rPr>
        <w:t>ę</w:t>
      </w:r>
      <w:r w:rsidRPr="00286E17">
        <w:rPr>
          <w:rFonts w:ascii="Calibri" w:hAnsi="Calibri" w:cs="Calibri"/>
        </w:rPr>
        <w:t>dzy zagospodarowaniem i u</w:t>
      </w:r>
      <w:r w:rsidRPr="00286E17">
        <w:rPr>
          <w:rFonts w:ascii="Calibri" w:hAnsi="Calibri" w:cs="Calibri" w:hint="eastAsia"/>
        </w:rPr>
        <w:t>ż</w:t>
      </w:r>
      <w:r w:rsidRPr="00286E17">
        <w:rPr>
          <w:rFonts w:ascii="Calibri" w:hAnsi="Calibri" w:cs="Calibri"/>
        </w:rPr>
        <w:t xml:space="preserve">ytkowaniem </w:t>
      </w:r>
      <w:r w:rsidRPr="00286E17">
        <w:rPr>
          <w:rFonts w:ascii="Calibri" w:hAnsi="Calibri" w:cs="Calibri"/>
        </w:rPr>
        <w:lastRenderedPageBreak/>
        <w:t>rekreacyjnym, a ochron</w:t>
      </w:r>
      <w:r w:rsidRPr="00286E17">
        <w:rPr>
          <w:rFonts w:ascii="Calibri" w:hAnsi="Calibri" w:cs="Calibri" w:hint="eastAsia"/>
        </w:rPr>
        <w:t>ą</w:t>
      </w:r>
      <w:r>
        <w:rPr>
          <w:rFonts w:ascii="Calibri" w:hAnsi="Calibri" w:cs="Calibri"/>
        </w:rPr>
        <w:t xml:space="preserve"> </w:t>
      </w:r>
      <w:r w:rsidRPr="00286E17">
        <w:rPr>
          <w:rFonts w:ascii="Calibri" w:hAnsi="Calibri" w:cs="Calibri"/>
        </w:rPr>
        <w:t>warto</w:t>
      </w:r>
      <w:r w:rsidRPr="00286E17">
        <w:rPr>
          <w:rFonts w:ascii="Calibri" w:hAnsi="Calibri" w:cs="Calibri" w:hint="eastAsia"/>
        </w:rPr>
        <w:t>ś</w:t>
      </w:r>
      <w:r w:rsidRPr="00286E17">
        <w:rPr>
          <w:rFonts w:ascii="Calibri" w:hAnsi="Calibri" w:cs="Calibri"/>
        </w:rPr>
        <w:t>ci przyrodniczych, stanowi</w:t>
      </w:r>
      <w:r w:rsidRPr="00286E17">
        <w:rPr>
          <w:rFonts w:ascii="Calibri" w:hAnsi="Calibri" w:cs="Calibri" w:hint="eastAsia"/>
        </w:rPr>
        <w:t>ą</w:t>
      </w:r>
      <w:r w:rsidRPr="00286E17">
        <w:rPr>
          <w:rFonts w:ascii="Calibri" w:hAnsi="Calibri" w:cs="Calibri"/>
        </w:rPr>
        <w:t>cych cz</w:t>
      </w:r>
      <w:r w:rsidRPr="00286E17">
        <w:rPr>
          <w:rFonts w:ascii="Calibri" w:hAnsi="Calibri" w:cs="Calibri" w:hint="eastAsia"/>
        </w:rPr>
        <w:t>ę</w:t>
      </w:r>
      <w:r w:rsidRPr="00286E17">
        <w:rPr>
          <w:rFonts w:ascii="Calibri" w:hAnsi="Calibri" w:cs="Calibri"/>
        </w:rPr>
        <w:t xml:space="preserve">sto </w:t>
      </w:r>
      <w:r>
        <w:rPr>
          <w:rFonts w:ascii="Calibri" w:hAnsi="Calibri" w:cs="Calibri"/>
        </w:rPr>
        <w:t>ważny czynnik</w:t>
      </w:r>
      <w:r w:rsidRPr="00286E17">
        <w:rPr>
          <w:rFonts w:ascii="Calibri" w:hAnsi="Calibri" w:cs="Calibri"/>
        </w:rPr>
        <w:t xml:space="preserve"> rozwoju rekreacji</w:t>
      </w:r>
      <w:r>
        <w:rPr>
          <w:rFonts w:ascii="Calibri" w:hAnsi="Calibri" w:cs="Calibri"/>
        </w:rPr>
        <w:t>.</w:t>
      </w:r>
    </w:p>
    <w:p w:rsidR="00286E17" w:rsidRPr="0043725A" w:rsidRDefault="00286E17" w:rsidP="00286E17">
      <w:pPr>
        <w:spacing w:after="0"/>
        <w:jc w:val="both"/>
        <w:rPr>
          <w:rFonts w:ascii="Calibri" w:hAnsi="Calibri" w:cs="Calibri"/>
        </w:rPr>
      </w:pPr>
    </w:p>
    <w:p w:rsidR="00237D57" w:rsidRPr="00B57A92" w:rsidRDefault="00237D57" w:rsidP="00C56D36">
      <w:pPr>
        <w:spacing w:after="0"/>
        <w:jc w:val="both"/>
        <w:rPr>
          <w:rFonts w:ascii="Calibri" w:hAnsi="Calibri" w:cs="Calibri"/>
          <w:b/>
          <w:color w:val="943634" w:themeColor="accent2" w:themeShade="BF"/>
        </w:rPr>
      </w:pPr>
      <w:r w:rsidRPr="00B57A92">
        <w:rPr>
          <w:rFonts w:ascii="Calibri" w:hAnsi="Calibri" w:cs="Calibri"/>
          <w:b/>
          <w:color w:val="943634" w:themeColor="accent2" w:themeShade="BF"/>
        </w:rPr>
        <w:t>Narodowa Strategia Spójności - Narodowa Strategiczne Ramy Odniesienia dla Polski</w:t>
      </w:r>
    </w:p>
    <w:p w:rsidR="00237D57" w:rsidRPr="00C6664A" w:rsidRDefault="00237D57" w:rsidP="00C56D36">
      <w:pPr>
        <w:shd w:val="clear" w:color="auto" w:fill="FFFFFF"/>
        <w:spacing w:after="0"/>
        <w:jc w:val="both"/>
        <w:outlineLvl w:val="3"/>
        <w:rPr>
          <w:rFonts w:ascii="Calibri" w:hAnsi="Calibri" w:cs="Tahoma"/>
        </w:rPr>
      </w:pPr>
      <w:r w:rsidRPr="00C6664A">
        <w:rPr>
          <w:rFonts w:ascii="Calibri" w:hAnsi="Calibri" w:cs="Tahoma"/>
        </w:rPr>
        <w:t>Dokument przedstawia analizę sytuacji społeczno-gospodarczej kraju i jej regionów, formułuje najważniejsze wyzwania dla kraju w perspektywie kolejnych lat oraz określa cele zmierzające do osiągnięcia spójności społeczno-gospodarczej i terytorialnej z krajami i regionami Wspólnoty, prezentuje alokację środków finansowych na poszczególne programy oraz ramy systemu realizacji. Celem strategicznym NSRO jest tworzenie warunków dla wzrostu konkurencyjności gospodarki opartej na wiedzy i przedsiębiorczości zapewniającej wzrost zatrudnienia oraz wzrost poziomu spójności społecznej, gospodarczej i przestrzennej.</w:t>
      </w:r>
    </w:p>
    <w:p w:rsidR="00237D57" w:rsidRPr="00C6664A" w:rsidRDefault="00237D57" w:rsidP="00B57A92">
      <w:pPr>
        <w:shd w:val="clear" w:color="auto" w:fill="FFFFFF"/>
        <w:spacing w:after="0"/>
        <w:jc w:val="both"/>
        <w:outlineLvl w:val="3"/>
        <w:rPr>
          <w:rFonts w:ascii="Calibri" w:hAnsi="Calibri" w:cs="Tahoma"/>
        </w:rPr>
      </w:pPr>
      <w:r w:rsidRPr="00C6664A">
        <w:rPr>
          <w:rFonts w:ascii="Calibri" w:hAnsi="Calibri" w:cs="Tahoma"/>
        </w:rPr>
        <w:t>Cel strategiczny osiągany będzie poprzez realizację horyzontalnych celów szczegółowych, którymi są:</w:t>
      </w:r>
    </w:p>
    <w:p w:rsidR="00237D57" w:rsidRPr="00C6664A" w:rsidRDefault="00237D57" w:rsidP="00B57A92">
      <w:pPr>
        <w:shd w:val="clear" w:color="auto" w:fill="FFFFFF"/>
        <w:spacing w:after="0"/>
        <w:jc w:val="both"/>
        <w:outlineLvl w:val="3"/>
        <w:rPr>
          <w:rFonts w:ascii="Calibri" w:hAnsi="Calibri" w:cs="Tahoma"/>
        </w:rPr>
      </w:pPr>
      <w:r w:rsidRPr="00C6664A">
        <w:rPr>
          <w:rFonts w:ascii="Calibri" w:hAnsi="Calibri" w:cs="Tahoma"/>
        </w:rPr>
        <w:t>1. Poprawa jakości funkcjonowania instytucji publicznych oraz rozbudowa mechanizmów partnerstwa,</w:t>
      </w:r>
    </w:p>
    <w:p w:rsidR="00237D57" w:rsidRPr="00C6664A" w:rsidRDefault="00237D57" w:rsidP="00B57A92">
      <w:pPr>
        <w:shd w:val="clear" w:color="auto" w:fill="FFFFFF"/>
        <w:spacing w:after="0"/>
        <w:jc w:val="both"/>
        <w:outlineLvl w:val="3"/>
        <w:rPr>
          <w:rFonts w:ascii="Calibri" w:hAnsi="Calibri" w:cs="Tahoma"/>
        </w:rPr>
      </w:pPr>
      <w:r w:rsidRPr="00C6664A">
        <w:rPr>
          <w:rFonts w:ascii="Calibri" w:hAnsi="Calibri" w:cs="Tahoma"/>
        </w:rPr>
        <w:t>2. Poprawa jakości kapitału ludzkiego i zwiększenie spójności społecznej,</w:t>
      </w:r>
    </w:p>
    <w:p w:rsidR="00237D57" w:rsidRPr="00C6664A" w:rsidRDefault="00237D57" w:rsidP="00B57A92">
      <w:pPr>
        <w:shd w:val="clear" w:color="auto" w:fill="FFFFFF"/>
        <w:spacing w:after="0"/>
        <w:jc w:val="both"/>
        <w:outlineLvl w:val="3"/>
        <w:rPr>
          <w:rFonts w:ascii="Calibri" w:hAnsi="Calibri" w:cs="Tahoma"/>
        </w:rPr>
      </w:pPr>
      <w:r w:rsidRPr="00C6664A">
        <w:rPr>
          <w:rFonts w:ascii="Calibri" w:hAnsi="Calibri" w:cs="Tahoma"/>
        </w:rPr>
        <w:t>3. Budowa i modernizacja infrastruktury technicznej i społecznej mającej podstawowe znaczenie dla wzrostu konkurencyjności Polski,</w:t>
      </w:r>
    </w:p>
    <w:p w:rsidR="00237D57" w:rsidRPr="00C6664A" w:rsidRDefault="00237D57" w:rsidP="00B57A92">
      <w:pPr>
        <w:shd w:val="clear" w:color="auto" w:fill="FFFFFF"/>
        <w:spacing w:after="0"/>
        <w:jc w:val="both"/>
        <w:outlineLvl w:val="3"/>
        <w:rPr>
          <w:rFonts w:ascii="Calibri" w:hAnsi="Calibri" w:cs="Tahoma"/>
        </w:rPr>
      </w:pPr>
      <w:r w:rsidRPr="00C6664A">
        <w:rPr>
          <w:rFonts w:ascii="Calibri" w:hAnsi="Calibri" w:cs="Tahoma"/>
        </w:rPr>
        <w:t>4. Podniesienie konkurencyjności i innowacyjności przedsiębiorstw, w tym szczególnie sektora wytwórczego o wysokiej wartości dodanej oraz rozwój sektora usług,</w:t>
      </w:r>
    </w:p>
    <w:p w:rsidR="00237D57" w:rsidRPr="00C6664A" w:rsidRDefault="00237D57" w:rsidP="00B57A92">
      <w:pPr>
        <w:shd w:val="clear" w:color="auto" w:fill="FFFFFF"/>
        <w:spacing w:after="0"/>
        <w:jc w:val="both"/>
        <w:outlineLvl w:val="3"/>
        <w:rPr>
          <w:rFonts w:ascii="Calibri" w:hAnsi="Calibri" w:cs="Tahoma"/>
        </w:rPr>
      </w:pPr>
      <w:r w:rsidRPr="00C6664A">
        <w:rPr>
          <w:rFonts w:ascii="Calibri" w:hAnsi="Calibri" w:cs="Tahoma"/>
        </w:rPr>
        <w:t>5. Wzrost konkurencyjności polskich regionów i przeciwdziałanie ich marginalizacji społecznej, gospodarczej i przestrzennej,</w:t>
      </w:r>
    </w:p>
    <w:p w:rsidR="00CD0E70" w:rsidRDefault="00237D57" w:rsidP="00C56D36">
      <w:pPr>
        <w:shd w:val="clear" w:color="auto" w:fill="FFFFFF"/>
        <w:spacing w:after="0"/>
        <w:jc w:val="both"/>
        <w:outlineLvl w:val="3"/>
        <w:rPr>
          <w:rFonts w:ascii="Calibri" w:hAnsi="Calibri" w:cs="Tahoma"/>
        </w:rPr>
      </w:pPr>
      <w:r w:rsidRPr="00C6664A">
        <w:rPr>
          <w:rFonts w:ascii="Calibri" w:hAnsi="Calibri" w:cs="Tahoma"/>
        </w:rPr>
        <w:t>6. Wyrównywanie szans rozwojowych i wspomaganie zmian strukturalnych na obszarach wiejskich.</w:t>
      </w:r>
    </w:p>
    <w:p w:rsidR="00400E6B" w:rsidRDefault="00400E6B" w:rsidP="00C56D36">
      <w:pPr>
        <w:shd w:val="clear" w:color="auto" w:fill="FFFFFF"/>
        <w:spacing w:after="0"/>
        <w:jc w:val="both"/>
        <w:outlineLvl w:val="3"/>
        <w:rPr>
          <w:rFonts w:ascii="Calibri" w:hAnsi="Calibri" w:cs="Tahoma"/>
        </w:rPr>
      </w:pPr>
    </w:p>
    <w:p w:rsidR="00400E6B" w:rsidRDefault="00E07640" w:rsidP="00C56D36">
      <w:pPr>
        <w:shd w:val="clear" w:color="auto" w:fill="FFFFFF"/>
        <w:spacing w:after="0"/>
        <w:jc w:val="both"/>
        <w:outlineLvl w:val="3"/>
        <w:rPr>
          <w:rFonts w:ascii="Calibri" w:hAnsi="Calibri" w:cs="Tahoma"/>
        </w:rPr>
      </w:pPr>
      <w:r w:rsidRPr="00E07640">
        <w:rPr>
          <w:rFonts w:cs="ACaslonPro-Regular"/>
        </w:rPr>
      </w:r>
      <w:r w:rsidR="00535843" w:rsidRPr="00E07640">
        <w:rPr>
          <w:rFonts w:cs="ACaslonPro-Regular"/>
        </w:rPr>
        <w:pict>
          <v:shape id="_x0000_s1032" type="#_x0000_t185" style="width:96.8pt;height:452.5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32;mso-fit-shape-to-text:t" inset="18pt,18pt,,18pt">
              <w:txbxContent>
                <w:p w:rsidR="00291CA0" w:rsidRPr="00517EE9" w:rsidRDefault="00291CA0" w:rsidP="00400E6B">
                  <w:pPr>
                    <w:spacing w:before="120" w:after="120"/>
                    <w:jc w:val="both"/>
                    <w:rPr>
                      <w:b/>
                      <w:i/>
                      <w:iCs/>
                      <w:color w:val="943634" w:themeColor="accent2" w:themeShade="BF"/>
                    </w:rPr>
                  </w:pPr>
                  <w:r w:rsidRPr="00517EE9">
                    <w:rPr>
                      <w:b/>
                      <w:i/>
                      <w:iCs/>
                      <w:color w:val="943634" w:themeColor="accent2" w:themeShade="BF"/>
                    </w:rPr>
                    <w:t>KONKLUZJE STRATEGICZNE</w:t>
                  </w:r>
                </w:p>
                <w:p w:rsidR="00291CA0" w:rsidRPr="00F40595" w:rsidRDefault="00291CA0" w:rsidP="00400E6B">
                  <w:pPr>
                    <w:spacing w:before="120" w:after="120"/>
                    <w:jc w:val="both"/>
                    <w:rPr>
                      <w:b/>
                      <w:i/>
                      <w:iCs/>
                      <w:color w:val="808080" w:themeColor="background1" w:themeShade="80"/>
                    </w:rPr>
                  </w:pPr>
                  <w:r w:rsidRPr="00400E6B">
                    <w:rPr>
                      <w:b/>
                      <w:i/>
                      <w:iCs/>
                      <w:color w:val="808080" w:themeColor="background1" w:themeShade="80"/>
                    </w:rPr>
                    <w:t xml:space="preserve">Zestawienie zawiera obowiązujące strategiczne dokumenty wskazujące kierunki rozwoju województwa </w:t>
                  </w:r>
                  <w:r>
                    <w:rPr>
                      <w:b/>
                      <w:i/>
                      <w:iCs/>
                      <w:color w:val="808080" w:themeColor="background1" w:themeShade="80"/>
                    </w:rPr>
                    <w:t>wielkopolskiego i kraju</w:t>
                  </w:r>
                  <w:r w:rsidRPr="00400E6B">
                    <w:rPr>
                      <w:b/>
                      <w:i/>
                      <w:iCs/>
                      <w:color w:val="808080" w:themeColor="background1" w:themeShade="80"/>
                    </w:rPr>
                    <w:t xml:space="preserve">. Opracowanie kierunków rozwoju Gminy </w:t>
                  </w:r>
                  <w:r>
                    <w:rPr>
                      <w:b/>
                      <w:i/>
                      <w:iCs/>
                      <w:color w:val="808080" w:themeColor="background1" w:themeShade="80"/>
                    </w:rPr>
                    <w:t>Pobiedziska</w:t>
                  </w:r>
                  <w:r w:rsidRPr="00400E6B">
                    <w:rPr>
                      <w:b/>
                      <w:i/>
                      <w:iCs/>
                      <w:color w:val="808080" w:themeColor="background1" w:themeShade="80"/>
                    </w:rPr>
                    <w:t xml:space="preserve"> musi się wpisywać w cele i priorytety rozwoju regionu, nakreślone w ogólnych dokumentach rozwoju województwa.</w:t>
                  </w:r>
                  <w:r>
                    <w:rPr>
                      <w:b/>
                      <w:i/>
                      <w:iCs/>
                      <w:color w:val="808080" w:themeColor="background1" w:themeShade="80"/>
                    </w:rPr>
                    <w:t xml:space="preserve"> Konieczne jest także zapewnienie zgodności kluczowych obszarów rozwoju gminy z założeniami zawartymi w dokumentach krajowych.</w:t>
                  </w:r>
                </w:p>
              </w:txbxContent>
            </v:textbox>
            <w10:wrap type="none" anchorx="margin" anchory="margin"/>
            <w10:anchorlock/>
          </v:shape>
        </w:pict>
      </w:r>
    </w:p>
    <w:p w:rsidR="00400E6B" w:rsidRPr="00C56D36" w:rsidRDefault="00400E6B" w:rsidP="00C56D36">
      <w:pPr>
        <w:shd w:val="clear" w:color="auto" w:fill="FFFFFF"/>
        <w:spacing w:after="0"/>
        <w:jc w:val="both"/>
        <w:outlineLvl w:val="3"/>
        <w:rPr>
          <w:rFonts w:ascii="Calibri" w:hAnsi="Calibri" w:cs="Tahoma"/>
        </w:rPr>
      </w:pPr>
    </w:p>
    <w:p w:rsidR="00C353BD" w:rsidRPr="00AE6AD8" w:rsidRDefault="00AE6AD8" w:rsidP="00AE6AD8">
      <w:pPr>
        <w:pStyle w:val="Nagwek2"/>
        <w:rPr>
          <w:rFonts w:asciiTheme="minorHAnsi" w:hAnsiTheme="minorHAnsi"/>
          <w:color w:val="943634" w:themeColor="accent2" w:themeShade="BF"/>
        </w:rPr>
      </w:pPr>
      <w:bookmarkStart w:id="30" w:name="_Toc321135346"/>
      <w:r w:rsidRPr="00AE6AD8">
        <w:rPr>
          <w:rFonts w:asciiTheme="minorHAnsi" w:hAnsiTheme="minorHAnsi"/>
          <w:color w:val="943634" w:themeColor="accent2" w:themeShade="BF"/>
        </w:rPr>
        <w:t>6.3 Strategiczne dokumenty unijne</w:t>
      </w:r>
      <w:bookmarkEnd w:id="30"/>
    </w:p>
    <w:p w:rsidR="006B24DA" w:rsidRPr="006B24DA" w:rsidRDefault="006B24DA" w:rsidP="00C56D36">
      <w:pPr>
        <w:spacing w:before="240" w:after="0"/>
        <w:jc w:val="both"/>
        <w:rPr>
          <w:rFonts w:ascii="Calibri" w:hAnsi="Calibri" w:cs="Calibri"/>
        </w:rPr>
      </w:pPr>
      <w:r w:rsidRPr="006B24DA">
        <w:rPr>
          <w:rFonts w:ascii="Calibri" w:hAnsi="Calibri" w:cs="Calibri"/>
          <w:iCs/>
        </w:rPr>
        <w:t>W zakresie dokumentów unijnych odwołano się do najważniejszych programów określających kierunki wzrostu konkurencyjności i spójności obszaru Unii Europejskiej</w:t>
      </w:r>
      <w:r>
        <w:rPr>
          <w:rFonts w:ascii="Calibri" w:hAnsi="Calibri" w:cs="Calibri"/>
        </w:rPr>
        <w:t>.</w:t>
      </w:r>
    </w:p>
    <w:p w:rsidR="00237D57" w:rsidRPr="00B57A92" w:rsidRDefault="00237D57" w:rsidP="00C56D36">
      <w:pPr>
        <w:spacing w:before="240" w:after="0"/>
        <w:jc w:val="both"/>
        <w:rPr>
          <w:rFonts w:ascii="Calibri" w:hAnsi="Calibri" w:cs="Calibri"/>
          <w:b/>
          <w:color w:val="943634" w:themeColor="accent2" w:themeShade="BF"/>
        </w:rPr>
      </w:pPr>
      <w:r w:rsidRPr="00B57A92">
        <w:rPr>
          <w:rFonts w:ascii="Calibri" w:hAnsi="Calibri" w:cs="Calibri"/>
          <w:b/>
          <w:color w:val="943634" w:themeColor="accent2" w:themeShade="BF"/>
        </w:rPr>
        <w:t>Strategia Lizbońska</w:t>
      </w:r>
    </w:p>
    <w:p w:rsidR="00237D57" w:rsidRPr="00C56D36" w:rsidRDefault="00237D57" w:rsidP="00C56D36">
      <w:pPr>
        <w:shd w:val="clear" w:color="auto" w:fill="FFFFFF"/>
        <w:spacing w:after="75"/>
        <w:jc w:val="both"/>
        <w:outlineLvl w:val="3"/>
        <w:rPr>
          <w:rFonts w:ascii="Calibri" w:hAnsi="Calibri" w:cs="Tahoma"/>
        </w:rPr>
      </w:pPr>
      <w:r>
        <w:rPr>
          <w:rFonts w:ascii="Calibri" w:hAnsi="Calibri" w:cs="Tahoma"/>
        </w:rPr>
        <w:t xml:space="preserve">Głównym celem Strategii Lizbońskiej jest stworzenie na terytorium Europy, do roku 2010, najbardziej konkurencyjnej gospodarki na świecie. Sama strategia skupia się na czterech kwestiach: innowacyjności (gospodarka oparta o wiedzę), liberalizacji (rynków telekomunikacji, energii, transportu oraz rynków finansowych), przedsiębiorczości (ułatwienia w zakładaniu i prowadzeniu </w:t>
      </w:r>
      <w:r>
        <w:rPr>
          <w:rFonts w:ascii="Calibri" w:hAnsi="Calibri" w:cs="Tahoma"/>
        </w:rPr>
        <w:lastRenderedPageBreak/>
        <w:t xml:space="preserve">działalności gospodarczej) oraz spójności społecznej (kształtowanie nowego aktywnego państwa socjalnego). Zdecydowana większość działań podejmowanych w zakresie strategii lizbońskiej związana jest z modernizacją polityki zatrudnienia oraz kreowaniem pozytywnych zmian na rynku pracy. Podstawowym przesłaniem jest ułatwienie prowadzenia działalności gospodarczej, szczególnie w sektorze małych i średnich przedsiębiorstw, a więc tam gdzie tworzonych jest najwięcej nowych miejsc pracy. Zgodnie z wytycznymi strategii lizbońskiej, w celu zaspokojenia potrzeb nowoczesnych gospodarek państw członkowskich konieczne jest również przemodelowanie systemu kształcenia </w:t>
      </w:r>
      <w:r w:rsidR="00C56D36">
        <w:rPr>
          <w:rFonts w:ascii="Calibri" w:hAnsi="Calibri" w:cs="Tahoma"/>
        </w:rPr>
        <w:br/>
      </w:r>
      <w:r>
        <w:rPr>
          <w:rFonts w:ascii="Calibri" w:hAnsi="Calibri" w:cs="Tahoma"/>
        </w:rPr>
        <w:t>w taki sposób, aby możliwe było stworzenie modelu gospodarczego opartego o wiedzę.</w:t>
      </w:r>
    </w:p>
    <w:p w:rsidR="00237D57" w:rsidRPr="00B57A92" w:rsidRDefault="00237D57" w:rsidP="00C56D36">
      <w:pPr>
        <w:spacing w:before="240" w:after="0"/>
        <w:jc w:val="both"/>
        <w:rPr>
          <w:rFonts w:ascii="Calibri" w:hAnsi="Calibri" w:cs="Calibri"/>
          <w:b/>
          <w:color w:val="943634" w:themeColor="accent2" w:themeShade="BF"/>
        </w:rPr>
      </w:pPr>
      <w:r w:rsidRPr="00B57A92">
        <w:rPr>
          <w:rFonts w:ascii="Calibri" w:hAnsi="Calibri" w:cs="Calibri"/>
          <w:b/>
          <w:color w:val="943634" w:themeColor="accent2" w:themeShade="BF"/>
        </w:rPr>
        <w:t>Karta Lipska na rzecz Zrównoważonych Miast</w:t>
      </w:r>
    </w:p>
    <w:p w:rsidR="00237D57" w:rsidRPr="009A00E1" w:rsidRDefault="00237D57" w:rsidP="00C56D36">
      <w:pPr>
        <w:spacing w:after="0"/>
        <w:jc w:val="both"/>
        <w:rPr>
          <w:rFonts w:ascii="Calibri" w:hAnsi="Calibri"/>
        </w:rPr>
      </w:pPr>
      <w:r w:rsidRPr="009A00E1">
        <w:rPr>
          <w:rFonts w:ascii="Calibri" w:hAnsi="Calibri"/>
        </w:rPr>
        <w:t xml:space="preserve">Karta Lipska jest dokumentem zawierającym ramy oraz powszechne zasady i strategie polityki rozwoju miast. Karta, sporządzona przy szerokim udziale zainteresowanych stron i instytucji europejskich, została przyjęta na Nieformalnym Spotkaniu Ministrów Państw Członkowskich Unii Europejskiej ds. Rozwoju Miast i Spójności Terytorialnej, które odbyło się </w:t>
      </w:r>
      <w:r>
        <w:rPr>
          <w:rFonts w:ascii="Calibri" w:hAnsi="Calibri"/>
        </w:rPr>
        <w:t xml:space="preserve">w 2007 roku w Lipsku. </w:t>
      </w:r>
      <w:r w:rsidRPr="009A00E1">
        <w:rPr>
          <w:rFonts w:ascii="Calibri" w:hAnsi="Calibri"/>
        </w:rPr>
        <w:t>Karta Lipska zawiera szereg zaleceń, które mają przyczynić się do rozwoju miast europejskich. Ministrowie zalecają w niej m.in.:</w:t>
      </w:r>
    </w:p>
    <w:p w:rsidR="00237D57" w:rsidRPr="009A00E1" w:rsidRDefault="00237D57" w:rsidP="00B57A92">
      <w:pPr>
        <w:spacing w:after="0"/>
        <w:jc w:val="both"/>
        <w:rPr>
          <w:rFonts w:ascii="Calibri" w:hAnsi="Calibri"/>
        </w:rPr>
      </w:pPr>
      <w:r w:rsidRPr="009A00E1">
        <w:rPr>
          <w:rFonts w:ascii="Calibri" w:hAnsi="Calibri"/>
        </w:rPr>
        <w:t>1) w większym stopniu wykorzystywać zintegrowane strategie rozwoju miast</w:t>
      </w:r>
    </w:p>
    <w:p w:rsidR="00237D57" w:rsidRPr="009A00E1" w:rsidRDefault="00237D57" w:rsidP="00B57A92">
      <w:pPr>
        <w:spacing w:after="0"/>
        <w:jc w:val="both"/>
        <w:rPr>
          <w:rFonts w:ascii="Calibri" w:hAnsi="Calibri"/>
        </w:rPr>
      </w:pPr>
      <w:r w:rsidRPr="009A00E1">
        <w:rPr>
          <w:rFonts w:ascii="Calibri" w:hAnsi="Calibri"/>
        </w:rPr>
        <w:t>W ramach polityki zintegrowanego rozwoju miast ważne są przede wszystkim następujące strategie działania:</w:t>
      </w:r>
    </w:p>
    <w:p w:rsidR="00237D57" w:rsidRPr="0018723B" w:rsidRDefault="00237D57" w:rsidP="00E84FFC">
      <w:pPr>
        <w:pStyle w:val="Akapitzlist"/>
        <w:numPr>
          <w:ilvl w:val="0"/>
          <w:numId w:val="18"/>
        </w:numPr>
        <w:jc w:val="both"/>
        <w:rPr>
          <w:rFonts w:ascii="Calibri" w:hAnsi="Calibri" w:cs="Calibri"/>
          <w:sz w:val="22"/>
        </w:rPr>
      </w:pPr>
      <w:r w:rsidRPr="0018723B">
        <w:rPr>
          <w:rFonts w:ascii="Calibri" w:hAnsi="Calibri" w:cs="Calibri"/>
          <w:sz w:val="22"/>
        </w:rPr>
        <w:t xml:space="preserve">tworzenie i zapewnianie wysokiej jakości przestrzenni publicznych - modernizacja sieci infrastrukturalnych oraz poprawa efektywności energetycznej, </w:t>
      </w:r>
    </w:p>
    <w:p w:rsidR="00237D57" w:rsidRPr="0018723B" w:rsidRDefault="00237D57" w:rsidP="00E84FFC">
      <w:pPr>
        <w:pStyle w:val="Akapitzlist"/>
        <w:numPr>
          <w:ilvl w:val="0"/>
          <w:numId w:val="18"/>
        </w:numPr>
        <w:jc w:val="both"/>
        <w:rPr>
          <w:rFonts w:ascii="Calibri" w:hAnsi="Calibri" w:cs="Calibri"/>
          <w:sz w:val="22"/>
        </w:rPr>
      </w:pPr>
      <w:r w:rsidRPr="0018723B">
        <w:rPr>
          <w:rFonts w:ascii="Calibri" w:hAnsi="Calibri" w:cs="Calibri"/>
          <w:sz w:val="22"/>
        </w:rPr>
        <w:t>aktywna polityka innowacyjna i edukacyjna.</w:t>
      </w:r>
    </w:p>
    <w:p w:rsidR="00237D57" w:rsidRPr="009A00E1" w:rsidRDefault="00237D57" w:rsidP="00B57A92">
      <w:pPr>
        <w:spacing w:after="0"/>
        <w:jc w:val="both"/>
        <w:rPr>
          <w:rFonts w:ascii="Calibri" w:hAnsi="Calibri"/>
        </w:rPr>
      </w:pPr>
      <w:r w:rsidRPr="009A00E1">
        <w:rPr>
          <w:rFonts w:ascii="Calibri" w:hAnsi="Calibri"/>
        </w:rPr>
        <w:t>2) zwrócić szczególną uwagę na dzielnice zdegradowane w</w:t>
      </w:r>
      <w:r w:rsidR="00C56D36">
        <w:rPr>
          <w:rFonts w:ascii="Calibri" w:hAnsi="Calibri"/>
        </w:rPr>
        <w:t xml:space="preserve"> kontekście miasta jako całości</w:t>
      </w:r>
    </w:p>
    <w:p w:rsidR="00237D57" w:rsidRPr="009A00E1" w:rsidRDefault="00237D57" w:rsidP="00B57A92">
      <w:pPr>
        <w:spacing w:after="0"/>
        <w:jc w:val="both"/>
        <w:rPr>
          <w:rFonts w:ascii="Calibri" w:hAnsi="Calibri"/>
        </w:rPr>
      </w:pPr>
      <w:r w:rsidRPr="009A00E1">
        <w:rPr>
          <w:rFonts w:ascii="Calibri" w:hAnsi="Calibri"/>
        </w:rPr>
        <w:t>W ramach polityki zintegrowanego rozwoju miast ważne jest w tym aspekcie:</w:t>
      </w:r>
    </w:p>
    <w:p w:rsidR="00237D57" w:rsidRPr="0018723B" w:rsidRDefault="00237D57" w:rsidP="00E84FFC">
      <w:pPr>
        <w:pStyle w:val="Akapitzlist"/>
        <w:numPr>
          <w:ilvl w:val="0"/>
          <w:numId w:val="18"/>
        </w:numPr>
        <w:jc w:val="both"/>
        <w:rPr>
          <w:rFonts w:ascii="Calibri" w:hAnsi="Calibri" w:cs="Calibri"/>
          <w:sz w:val="22"/>
        </w:rPr>
      </w:pPr>
      <w:r w:rsidRPr="0018723B">
        <w:rPr>
          <w:rFonts w:ascii="Calibri" w:hAnsi="Calibri" w:cs="Calibri"/>
          <w:sz w:val="22"/>
        </w:rPr>
        <w:t xml:space="preserve">utrwalanie urbanistycznych strategii oceny, </w:t>
      </w:r>
    </w:p>
    <w:p w:rsidR="00237D57" w:rsidRPr="0018723B" w:rsidRDefault="00237D57" w:rsidP="00E84FFC">
      <w:pPr>
        <w:pStyle w:val="Akapitzlist"/>
        <w:numPr>
          <w:ilvl w:val="0"/>
          <w:numId w:val="18"/>
        </w:numPr>
        <w:jc w:val="both"/>
        <w:rPr>
          <w:rFonts w:ascii="Calibri" w:hAnsi="Calibri" w:cs="Calibri"/>
          <w:sz w:val="22"/>
        </w:rPr>
      </w:pPr>
      <w:r w:rsidRPr="0018723B">
        <w:rPr>
          <w:rFonts w:ascii="Calibri" w:hAnsi="Calibri" w:cs="Calibri"/>
          <w:sz w:val="22"/>
        </w:rPr>
        <w:t xml:space="preserve">wzmacnianie gospodarki lokalnej i lokalnej polityki rynku pracy, </w:t>
      </w:r>
    </w:p>
    <w:p w:rsidR="00237D57" w:rsidRPr="0018723B" w:rsidRDefault="00237D57" w:rsidP="00E84FFC">
      <w:pPr>
        <w:pStyle w:val="Akapitzlist"/>
        <w:numPr>
          <w:ilvl w:val="0"/>
          <w:numId w:val="18"/>
        </w:numPr>
        <w:jc w:val="both"/>
        <w:rPr>
          <w:rFonts w:ascii="Calibri" w:hAnsi="Calibri" w:cs="Calibri"/>
          <w:sz w:val="22"/>
        </w:rPr>
      </w:pPr>
      <w:r w:rsidRPr="0018723B">
        <w:rPr>
          <w:rFonts w:ascii="Calibri" w:hAnsi="Calibri" w:cs="Calibri"/>
          <w:sz w:val="22"/>
        </w:rPr>
        <w:t>wspieranie aktywnej polityki edukacyjnej i szkol</w:t>
      </w:r>
      <w:r w:rsidR="00C56D36">
        <w:rPr>
          <w:rFonts w:ascii="Calibri" w:hAnsi="Calibri" w:cs="Calibri"/>
          <w:sz w:val="22"/>
        </w:rPr>
        <w:t>eniowej dla dzieci i młodzieży,</w:t>
      </w:r>
    </w:p>
    <w:p w:rsidR="00237D57" w:rsidRPr="0018723B" w:rsidRDefault="00237D57" w:rsidP="00E84FFC">
      <w:pPr>
        <w:pStyle w:val="Akapitzlist"/>
        <w:numPr>
          <w:ilvl w:val="0"/>
          <w:numId w:val="18"/>
        </w:numPr>
        <w:jc w:val="both"/>
        <w:rPr>
          <w:rFonts w:ascii="Calibri" w:hAnsi="Calibri" w:cs="Calibri"/>
          <w:sz w:val="22"/>
        </w:rPr>
      </w:pPr>
      <w:r w:rsidRPr="0018723B">
        <w:rPr>
          <w:rFonts w:ascii="Calibri" w:hAnsi="Calibri" w:cs="Calibri"/>
          <w:sz w:val="22"/>
        </w:rPr>
        <w:t>wspieranie skutecznego i cenowo przystępnego transportu miejskiego.</w:t>
      </w:r>
    </w:p>
    <w:p w:rsidR="00237D57" w:rsidRPr="009A00E1" w:rsidRDefault="00237D57" w:rsidP="00B57A92">
      <w:pPr>
        <w:spacing w:after="0"/>
        <w:jc w:val="both"/>
        <w:rPr>
          <w:rFonts w:ascii="Calibri" w:hAnsi="Calibri"/>
        </w:rPr>
      </w:pPr>
      <w:r w:rsidRPr="009A00E1">
        <w:rPr>
          <w:rFonts w:ascii="Calibri" w:hAnsi="Calibri"/>
        </w:rPr>
        <w:t>Ministrowie podkreślili w Karcie Lipskiej, że:</w:t>
      </w:r>
    </w:p>
    <w:p w:rsidR="00237D57" w:rsidRPr="0018723B" w:rsidRDefault="00237D57" w:rsidP="00E84FFC">
      <w:pPr>
        <w:pStyle w:val="Akapitzlist"/>
        <w:numPr>
          <w:ilvl w:val="0"/>
          <w:numId w:val="18"/>
        </w:numPr>
        <w:jc w:val="both"/>
        <w:rPr>
          <w:rFonts w:ascii="Calibri" w:hAnsi="Calibri" w:cs="Calibri"/>
          <w:sz w:val="22"/>
        </w:rPr>
      </w:pPr>
      <w:r w:rsidRPr="0018723B">
        <w:rPr>
          <w:rFonts w:ascii="Calibri" w:hAnsi="Calibri" w:cs="Calibri"/>
          <w:sz w:val="22"/>
        </w:rPr>
        <w:t xml:space="preserve">polityka rozwoju miast powinna być określona na poziomie krajowym, </w:t>
      </w:r>
    </w:p>
    <w:p w:rsidR="00237D57" w:rsidRPr="0018723B" w:rsidRDefault="00237D57" w:rsidP="00E84FFC">
      <w:pPr>
        <w:pStyle w:val="Akapitzlist"/>
        <w:numPr>
          <w:ilvl w:val="0"/>
          <w:numId w:val="18"/>
        </w:numPr>
        <w:jc w:val="both"/>
        <w:rPr>
          <w:rFonts w:ascii="Calibri" w:hAnsi="Calibri" w:cs="Calibri"/>
          <w:sz w:val="22"/>
        </w:rPr>
      </w:pPr>
      <w:r w:rsidRPr="0018723B">
        <w:rPr>
          <w:rFonts w:ascii="Calibri" w:hAnsi="Calibri" w:cs="Calibri"/>
          <w:sz w:val="22"/>
        </w:rPr>
        <w:t xml:space="preserve">władze lokalne powinny rozwinąć umiejętności konieczne do wdrażania polityki zintegrowanego rozwoju miast, </w:t>
      </w:r>
    </w:p>
    <w:p w:rsidR="00237D57" w:rsidRPr="0018723B" w:rsidRDefault="00237D57" w:rsidP="00E84FFC">
      <w:pPr>
        <w:pStyle w:val="Akapitzlist"/>
        <w:numPr>
          <w:ilvl w:val="0"/>
          <w:numId w:val="18"/>
        </w:numPr>
        <w:jc w:val="both"/>
        <w:rPr>
          <w:rFonts w:ascii="Calibri" w:hAnsi="Calibri" w:cs="Calibri"/>
          <w:sz w:val="22"/>
        </w:rPr>
      </w:pPr>
      <w:r w:rsidRPr="0018723B">
        <w:rPr>
          <w:rFonts w:ascii="Calibri" w:hAnsi="Calibri" w:cs="Calibri"/>
          <w:sz w:val="22"/>
        </w:rPr>
        <w:t xml:space="preserve">resorty rządowe aktywne w obszarze rozwoju miejskiego lub mające wpływ na rozwój miejski muszą lepiej połączyć i skoordynować swoje działania, </w:t>
      </w:r>
    </w:p>
    <w:p w:rsidR="00237D57" w:rsidRPr="0018723B" w:rsidRDefault="00237D57" w:rsidP="00E84FFC">
      <w:pPr>
        <w:pStyle w:val="Akapitzlist"/>
        <w:numPr>
          <w:ilvl w:val="0"/>
          <w:numId w:val="18"/>
        </w:numPr>
        <w:jc w:val="both"/>
        <w:rPr>
          <w:rFonts w:ascii="Calibri" w:hAnsi="Calibri" w:cs="Calibri"/>
          <w:sz w:val="22"/>
        </w:rPr>
      </w:pPr>
      <w:r w:rsidRPr="0018723B">
        <w:rPr>
          <w:rFonts w:ascii="Calibri" w:hAnsi="Calibri" w:cs="Calibri"/>
          <w:sz w:val="22"/>
        </w:rPr>
        <w:t>podkreślone zostało znaczenie systematycznej i ustrukturyzowanej wymiany doświadczeń i wiedzy w obszarze zrównoważonego rozwoju miast.</w:t>
      </w:r>
    </w:p>
    <w:p w:rsidR="00237D57" w:rsidRPr="009A00E1" w:rsidRDefault="00237D57" w:rsidP="00B57A92">
      <w:pPr>
        <w:spacing w:after="0"/>
        <w:jc w:val="both"/>
        <w:rPr>
          <w:rFonts w:ascii="Calibri" w:hAnsi="Calibri"/>
        </w:rPr>
      </w:pPr>
      <w:r w:rsidRPr="009A00E1">
        <w:rPr>
          <w:rFonts w:ascii="Calibri" w:hAnsi="Calibri"/>
        </w:rPr>
        <w:t>Ministrowie zobowiązali się w Karcie Lipskiej ponadto do:</w:t>
      </w:r>
    </w:p>
    <w:p w:rsidR="00237D57" w:rsidRPr="0018723B" w:rsidRDefault="00237D57" w:rsidP="00E84FFC">
      <w:pPr>
        <w:pStyle w:val="Akapitzlist"/>
        <w:numPr>
          <w:ilvl w:val="0"/>
          <w:numId w:val="18"/>
        </w:numPr>
        <w:jc w:val="both"/>
        <w:rPr>
          <w:rFonts w:ascii="Calibri" w:hAnsi="Calibri" w:cs="Calibri"/>
          <w:sz w:val="22"/>
        </w:rPr>
      </w:pPr>
      <w:r w:rsidRPr="0018723B">
        <w:rPr>
          <w:rFonts w:ascii="Calibri" w:hAnsi="Calibri" w:cs="Calibri"/>
          <w:sz w:val="22"/>
        </w:rPr>
        <w:t xml:space="preserve">zainicjowania w swoich krajach debaty politycznej celem ustalenia sposobu adaptacji strategii zawartych w Karcie Lipskiej do krajowych, regionalnych i lokalnych polityk rozwoju, </w:t>
      </w:r>
    </w:p>
    <w:p w:rsidR="00237D57" w:rsidRPr="0018723B" w:rsidRDefault="00237D57" w:rsidP="00E84FFC">
      <w:pPr>
        <w:pStyle w:val="Akapitzlist"/>
        <w:numPr>
          <w:ilvl w:val="0"/>
          <w:numId w:val="18"/>
        </w:numPr>
        <w:jc w:val="both"/>
        <w:rPr>
          <w:rFonts w:ascii="Calibri" w:hAnsi="Calibri" w:cs="Calibri"/>
          <w:sz w:val="22"/>
        </w:rPr>
      </w:pPr>
      <w:r w:rsidRPr="0018723B">
        <w:rPr>
          <w:rFonts w:ascii="Calibri" w:hAnsi="Calibri" w:cs="Calibri"/>
          <w:sz w:val="22"/>
        </w:rPr>
        <w:t xml:space="preserve">zastosowania narzędzi zintegrowanego rozwoju miast i powiązanych z nim struktur zarządzania (governance) celem ich implementacji oraz do utworzenia niezbędnych ram na poziomie krajowym, </w:t>
      </w:r>
    </w:p>
    <w:p w:rsidR="00237D57" w:rsidRPr="0018723B" w:rsidRDefault="00237D57" w:rsidP="00E84FFC">
      <w:pPr>
        <w:pStyle w:val="Akapitzlist"/>
        <w:numPr>
          <w:ilvl w:val="0"/>
          <w:numId w:val="18"/>
        </w:numPr>
        <w:jc w:val="both"/>
        <w:rPr>
          <w:rFonts w:ascii="Calibri" w:hAnsi="Calibri" w:cs="Calibri"/>
          <w:sz w:val="22"/>
        </w:rPr>
      </w:pPr>
      <w:r w:rsidRPr="0018723B">
        <w:rPr>
          <w:rFonts w:ascii="Calibri" w:hAnsi="Calibri" w:cs="Calibri"/>
          <w:sz w:val="22"/>
        </w:rPr>
        <w:t>wspierania tworzenia zrównoważonej organizacji terytorialnej opartej na europejskiej, policentrycznej strukturze miejskiej.</w:t>
      </w:r>
    </w:p>
    <w:p w:rsidR="00CD0E70" w:rsidRDefault="00CD0E70"/>
    <w:p w:rsidR="00400E6B" w:rsidRDefault="00E07640">
      <w:pPr>
        <w:rPr>
          <w:rFonts w:cs="ACaslonPro-Regular"/>
        </w:rPr>
      </w:pPr>
      <w:r>
        <w:rPr>
          <w:rFonts w:cs="ACaslonPro-Regular"/>
        </w:rPr>
      </w:r>
      <w:r w:rsidR="00535843">
        <w:rPr>
          <w:rFonts w:cs="ACaslonPro-Regular"/>
        </w:rPr>
        <w:pict>
          <v:shape id="_x0000_s1031" type="#_x0000_t185" style="width:96.8pt;height:452.5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31;mso-fit-shape-to-text:t" inset="18pt,18pt,,18pt">
              <w:txbxContent>
                <w:p w:rsidR="00291CA0" w:rsidRPr="00517EE9" w:rsidRDefault="00291CA0" w:rsidP="00400E6B">
                  <w:pPr>
                    <w:spacing w:before="120" w:after="120"/>
                    <w:jc w:val="both"/>
                    <w:rPr>
                      <w:b/>
                      <w:i/>
                      <w:iCs/>
                      <w:color w:val="943634" w:themeColor="accent2" w:themeShade="BF"/>
                    </w:rPr>
                  </w:pPr>
                  <w:r w:rsidRPr="00517EE9">
                    <w:rPr>
                      <w:b/>
                      <w:i/>
                      <w:iCs/>
                      <w:color w:val="943634" w:themeColor="accent2" w:themeShade="BF"/>
                    </w:rPr>
                    <w:t>KONKLUZJE STRATEGICZNE</w:t>
                  </w:r>
                </w:p>
                <w:p w:rsidR="00291CA0" w:rsidRPr="00F40595" w:rsidRDefault="00291CA0" w:rsidP="00400E6B">
                  <w:pPr>
                    <w:spacing w:before="120" w:after="120"/>
                    <w:jc w:val="both"/>
                    <w:rPr>
                      <w:b/>
                      <w:i/>
                      <w:iCs/>
                      <w:color w:val="808080" w:themeColor="background1" w:themeShade="80"/>
                    </w:rPr>
                  </w:pPr>
                  <w:r w:rsidRPr="00400E6B">
                    <w:rPr>
                      <w:b/>
                      <w:i/>
                      <w:iCs/>
                      <w:color w:val="808080" w:themeColor="background1" w:themeShade="80"/>
                    </w:rPr>
                    <w:t xml:space="preserve">Większość dokumentów unijnych ma charakter bardzo ogólnych strategii lub polityk. Zawarte w </w:t>
                  </w:r>
                  <w:r>
                    <w:rPr>
                      <w:b/>
                      <w:i/>
                      <w:iCs/>
                      <w:color w:val="808080" w:themeColor="background1" w:themeShade="80"/>
                    </w:rPr>
                    <w:t>strategii</w:t>
                  </w:r>
                  <w:r w:rsidRPr="00400E6B">
                    <w:rPr>
                      <w:b/>
                      <w:i/>
                      <w:iCs/>
                      <w:color w:val="808080" w:themeColor="background1" w:themeShade="80"/>
                    </w:rPr>
                    <w:t xml:space="preserve"> cele i kierunki działań </w:t>
                  </w:r>
                  <w:r>
                    <w:rPr>
                      <w:b/>
                      <w:i/>
                      <w:iCs/>
                      <w:color w:val="808080" w:themeColor="background1" w:themeShade="80"/>
                    </w:rPr>
                    <w:t>powinny być zgodne z zapisami dokumentów unijnych</w:t>
                  </w:r>
                  <w:r w:rsidRPr="00F40595">
                    <w:rPr>
                      <w:b/>
                      <w:i/>
                      <w:iCs/>
                      <w:color w:val="808080" w:themeColor="background1" w:themeShade="80"/>
                    </w:rPr>
                    <w:t>.</w:t>
                  </w:r>
                </w:p>
              </w:txbxContent>
            </v:textbox>
            <w10:wrap type="none" anchorx="margin" anchory="margin"/>
            <w10:anchorlock/>
          </v:shape>
        </w:pict>
      </w:r>
    </w:p>
    <w:p w:rsidR="00400E6B" w:rsidRPr="00885434" w:rsidRDefault="00400E6B"/>
    <w:p w:rsidR="009A7ABC" w:rsidRPr="00E14DC7" w:rsidRDefault="009A7ABC" w:rsidP="00E84FFC">
      <w:pPr>
        <w:pStyle w:val="Nagwek1"/>
        <w:numPr>
          <w:ilvl w:val="0"/>
          <w:numId w:val="1"/>
        </w:numPr>
        <w:rPr>
          <w:rFonts w:asciiTheme="minorHAnsi" w:hAnsiTheme="minorHAnsi" w:cs="Tahoma"/>
          <w:color w:val="632423" w:themeColor="accent2" w:themeShade="80"/>
          <w:sz w:val="28"/>
        </w:rPr>
      </w:pPr>
      <w:bookmarkStart w:id="31" w:name="_Toc306028441"/>
      <w:bookmarkStart w:id="32" w:name="_Toc321135347"/>
      <w:r w:rsidRPr="00E14DC7">
        <w:rPr>
          <w:rFonts w:asciiTheme="minorHAnsi" w:hAnsiTheme="minorHAnsi" w:cs="Tahoma"/>
          <w:color w:val="632423" w:themeColor="accent2" w:themeShade="80"/>
          <w:sz w:val="28"/>
        </w:rPr>
        <w:t>Analiza aktywności promocyjnej i marketingowej gmin</w:t>
      </w:r>
      <w:bookmarkEnd w:id="31"/>
      <w:r w:rsidR="009E1BFE" w:rsidRPr="00E14DC7">
        <w:rPr>
          <w:rFonts w:asciiTheme="minorHAnsi" w:hAnsiTheme="minorHAnsi" w:cs="Tahoma"/>
          <w:color w:val="632423" w:themeColor="accent2" w:themeShade="80"/>
          <w:sz w:val="28"/>
        </w:rPr>
        <w:t>y</w:t>
      </w:r>
      <w:bookmarkEnd w:id="32"/>
    </w:p>
    <w:p w:rsidR="00632F8F" w:rsidRPr="00D24D37" w:rsidRDefault="00632F8F" w:rsidP="00C56D36">
      <w:pPr>
        <w:spacing w:before="240" w:after="0"/>
        <w:jc w:val="both"/>
      </w:pPr>
      <w:r w:rsidRPr="00D24D37">
        <w:t>Promocja gminy Pobiedziska realizowana jest w czterech obszarach podejmowanych działań:</w:t>
      </w:r>
    </w:p>
    <w:p w:rsidR="00632F8F" w:rsidRPr="00D24D37" w:rsidRDefault="00632F8F" w:rsidP="00C56D36">
      <w:pPr>
        <w:spacing w:after="0"/>
        <w:jc w:val="both"/>
      </w:pPr>
      <w:r w:rsidRPr="00D24D37">
        <w:t>1. Działania informacyjne</w:t>
      </w:r>
    </w:p>
    <w:p w:rsidR="00632F8F" w:rsidRPr="00D24D37" w:rsidRDefault="00632F8F" w:rsidP="00C56D36">
      <w:pPr>
        <w:spacing w:after="0"/>
        <w:jc w:val="both"/>
      </w:pPr>
      <w:r w:rsidRPr="00D24D37">
        <w:t>2. Działania mające na celu pozyskiwanie inwestorów zewnętrznych oraz wspieranie lokalnej przedsiębiorczości</w:t>
      </w:r>
    </w:p>
    <w:p w:rsidR="00632F8F" w:rsidRPr="00D24D37" w:rsidRDefault="00632F8F" w:rsidP="00C56D36">
      <w:pPr>
        <w:spacing w:after="0"/>
        <w:jc w:val="both"/>
      </w:pPr>
      <w:r w:rsidRPr="00D24D37">
        <w:t>3. Działania kulturalne i turystyczne</w:t>
      </w:r>
    </w:p>
    <w:p w:rsidR="00632F8F" w:rsidRPr="00D24D37" w:rsidRDefault="00306F0C" w:rsidP="00C56D36">
      <w:pPr>
        <w:spacing w:after="0"/>
        <w:jc w:val="both"/>
      </w:pPr>
      <w:r w:rsidRPr="00D24D37">
        <w:t>4. Współpraca</w:t>
      </w:r>
      <w:r w:rsidR="00E675A6" w:rsidRPr="00D24D37">
        <w:t xml:space="preserve"> z partnerami </w:t>
      </w:r>
      <w:r w:rsidR="00632F8F" w:rsidRPr="00D24D37">
        <w:t>społecznymi, organizacjami pozarzą</w:t>
      </w:r>
      <w:r w:rsidRPr="00D24D37">
        <w:t xml:space="preserve">dowymi, miastami partnerskimi </w:t>
      </w:r>
      <w:r w:rsidR="00632F8F" w:rsidRPr="00D24D37">
        <w:t>itp.</w:t>
      </w:r>
    </w:p>
    <w:p w:rsidR="00632F8F" w:rsidRPr="00D24D37" w:rsidRDefault="00632F8F" w:rsidP="00E675A6">
      <w:pPr>
        <w:spacing w:after="0"/>
        <w:jc w:val="both"/>
        <w:rPr>
          <w:b/>
          <w:bCs/>
        </w:rPr>
      </w:pPr>
      <w:r w:rsidRPr="00D24D37">
        <w:rPr>
          <w:b/>
          <w:bCs/>
        </w:rPr>
        <w:t>OBSZAR I - DZIAŁANIA INFORMACYJNE</w:t>
      </w:r>
    </w:p>
    <w:p w:rsidR="00632F8F" w:rsidRPr="00D24D37" w:rsidRDefault="00E675A6" w:rsidP="00E675A6">
      <w:pPr>
        <w:spacing w:after="0"/>
        <w:jc w:val="both"/>
      </w:pPr>
      <w:r w:rsidRPr="00D24D37">
        <w:t xml:space="preserve">Zakłada, że </w:t>
      </w:r>
      <w:r w:rsidR="00632F8F" w:rsidRPr="00D24D37">
        <w:t>aktualna, rzetelna, łatwo dostępna INFORMA</w:t>
      </w:r>
      <w:r w:rsidRPr="00D24D37">
        <w:t xml:space="preserve">CJA </w:t>
      </w:r>
      <w:r w:rsidR="00632F8F" w:rsidRPr="00D24D37">
        <w:t xml:space="preserve">przekazywana przez Urząd Miasta </w:t>
      </w:r>
      <w:r w:rsidR="00C56D36">
        <w:br/>
      </w:r>
      <w:r w:rsidR="00632F8F" w:rsidRPr="00D24D37">
        <w:t>i Gminy oraz jednostki organizacyjne i pomocnicze Gminy jest na</w:t>
      </w:r>
      <w:r w:rsidRPr="00D24D37">
        <w:t>jważniejszym  źródłem promocji.</w:t>
      </w:r>
    </w:p>
    <w:p w:rsidR="00632F8F" w:rsidRPr="00D24D37" w:rsidRDefault="00632F8F" w:rsidP="00632F8F">
      <w:pPr>
        <w:spacing w:after="0"/>
        <w:jc w:val="both"/>
      </w:pPr>
      <w:r w:rsidRPr="00D24D37">
        <w:t>W ostatnich latach wprowadzono wiele innowacyjnych działań, które mają na celu ułatwić i przybliżyć mieszkańcom kontakt z jednostką samorządu terytorialnego:</w:t>
      </w:r>
    </w:p>
    <w:p w:rsidR="00632F8F" w:rsidRPr="00D24D37" w:rsidRDefault="00632F8F" w:rsidP="00E84FFC">
      <w:pPr>
        <w:pStyle w:val="Akapitzlist"/>
        <w:numPr>
          <w:ilvl w:val="0"/>
          <w:numId w:val="15"/>
        </w:numPr>
        <w:spacing w:line="276" w:lineRule="auto"/>
        <w:jc w:val="both"/>
        <w:rPr>
          <w:rFonts w:ascii="Calibri" w:hAnsi="Calibri" w:cs="Calibri"/>
          <w:sz w:val="22"/>
        </w:rPr>
      </w:pPr>
      <w:r w:rsidRPr="00D24D37">
        <w:rPr>
          <w:rFonts w:ascii="Calibri" w:hAnsi="Calibri" w:cs="Calibri"/>
          <w:sz w:val="22"/>
        </w:rPr>
        <w:t>powstał nowoczesny portal internetowy www.pobiedziska.pl, którego trzy działy skierowano odrębnie do mieszkańców, turystów i inwestorów,</w:t>
      </w:r>
    </w:p>
    <w:p w:rsidR="00632F8F" w:rsidRPr="00D24D37" w:rsidRDefault="00632F8F" w:rsidP="00E84FFC">
      <w:pPr>
        <w:pStyle w:val="Akapitzlist"/>
        <w:numPr>
          <w:ilvl w:val="0"/>
          <w:numId w:val="15"/>
        </w:numPr>
        <w:spacing w:line="276" w:lineRule="auto"/>
        <w:jc w:val="both"/>
        <w:rPr>
          <w:rFonts w:ascii="Calibri" w:hAnsi="Calibri"/>
          <w:sz w:val="22"/>
        </w:rPr>
      </w:pPr>
      <w:r w:rsidRPr="00D24D37">
        <w:rPr>
          <w:rFonts w:ascii="Calibri" w:hAnsi="Calibri" w:cs="Calibri"/>
          <w:sz w:val="22"/>
        </w:rPr>
        <w:t>strona internetowa Gminy połączona została z portalem społecznościowym Facebook, na którym Pobiedziska mają sw</w:t>
      </w:r>
      <w:r w:rsidRPr="00D24D37">
        <w:rPr>
          <w:rFonts w:ascii="Calibri" w:hAnsi="Calibri"/>
          <w:sz w:val="22"/>
        </w:rPr>
        <w:t>oje oficjalne konto promujące wydarzenia z gminy,</w:t>
      </w:r>
    </w:p>
    <w:p w:rsidR="00AC6001" w:rsidRPr="00D24D37" w:rsidRDefault="00632F8F" w:rsidP="00E84FFC">
      <w:pPr>
        <w:pStyle w:val="Akapitzlist"/>
        <w:numPr>
          <w:ilvl w:val="0"/>
          <w:numId w:val="15"/>
        </w:numPr>
        <w:spacing w:line="276" w:lineRule="auto"/>
        <w:jc w:val="both"/>
        <w:rPr>
          <w:rFonts w:ascii="Calibri" w:hAnsi="Calibri"/>
          <w:sz w:val="22"/>
        </w:rPr>
      </w:pPr>
      <w:r w:rsidRPr="00D24D37">
        <w:rPr>
          <w:rFonts w:ascii="Calibri" w:hAnsi="Calibri" w:cs="Calibri"/>
          <w:sz w:val="22"/>
        </w:rPr>
        <w:t>zmodyfikowano także stronę Biuletynu Informacji Publicznej www.bip.pobiedziska.pl, na której umieszczane są wszystkie najważniejsze urzędowe informacje, można tam pobrać wzory wielu pism i wniosk</w:t>
      </w:r>
      <w:r w:rsidRPr="00D24D37">
        <w:rPr>
          <w:rFonts w:ascii="Calibri" w:hAnsi="Calibri"/>
          <w:sz w:val="22"/>
        </w:rPr>
        <w:t>ów,</w:t>
      </w:r>
    </w:p>
    <w:p w:rsidR="00AC6001" w:rsidRPr="00D24D37" w:rsidRDefault="00AC6001" w:rsidP="00E84FFC">
      <w:pPr>
        <w:pStyle w:val="Akapitzlist"/>
        <w:numPr>
          <w:ilvl w:val="0"/>
          <w:numId w:val="15"/>
        </w:numPr>
        <w:spacing w:line="276" w:lineRule="auto"/>
        <w:jc w:val="both"/>
        <w:rPr>
          <w:rFonts w:ascii="Calibri" w:hAnsi="Calibri"/>
          <w:sz w:val="22"/>
        </w:rPr>
      </w:pPr>
      <w:r w:rsidRPr="00D24D37">
        <w:rPr>
          <w:rFonts w:ascii="Calibri" w:hAnsi="Calibri" w:cs="Calibri"/>
          <w:sz w:val="22"/>
        </w:rPr>
        <w:t>udoskonalono linie telefoniczne, rozbudowano komunikację poprzez Intern</w:t>
      </w:r>
      <w:r w:rsidRPr="00D24D37">
        <w:rPr>
          <w:rFonts w:ascii="Calibri" w:hAnsi="Calibri"/>
          <w:sz w:val="22"/>
        </w:rPr>
        <w:t>et,</w:t>
      </w:r>
    </w:p>
    <w:p w:rsidR="00632F8F" w:rsidRPr="00D24D37" w:rsidRDefault="00632F8F" w:rsidP="00E84FFC">
      <w:pPr>
        <w:pStyle w:val="Akapitzlist"/>
        <w:numPr>
          <w:ilvl w:val="0"/>
          <w:numId w:val="15"/>
        </w:numPr>
        <w:spacing w:line="276" w:lineRule="auto"/>
        <w:jc w:val="both"/>
        <w:rPr>
          <w:rFonts w:ascii="Calibri" w:hAnsi="Calibri" w:cs="Calibri"/>
          <w:sz w:val="22"/>
        </w:rPr>
      </w:pPr>
      <w:r w:rsidRPr="00D24D37">
        <w:rPr>
          <w:rFonts w:ascii="Calibri" w:hAnsi="Calibri" w:cs="Calibri"/>
          <w:sz w:val="22"/>
        </w:rPr>
        <w:t>o działaniach władz i urzędu informują także ogłoszenia umieszczane przez sołtysów na tablicach informacyjnych, ustawionych w każdym sołectwie,</w:t>
      </w:r>
    </w:p>
    <w:p w:rsidR="00632F8F" w:rsidRPr="00D24D37" w:rsidRDefault="00632F8F" w:rsidP="00E84FFC">
      <w:pPr>
        <w:pStyle w:val="Akapitzlist"/>
        <w:numPr>
          <w:ilvl w:val="0"/>
          <w:numId w:val="15"/>
        </w:numPr>
        <w:spacing w:line="276" w:lineRule="auto"/>
        <w:jc w:val="both"/>
        <w:rPr>
          <w:rFonts w:ascii="Calibri" w:hAnsi="Calibri" w:cs="Calibri"/>
          <w:sz w:val="22"/>
        </w:rPr>
      </w:pPr>
      <w:r w:rsidRPr="00D24D37">
        <w:rPr>
          <w:rFonts w:ascii="Calibri" w:hAnsi="Calibri" w:cs="Calibri"/>
          <w:sz w:val="22"/>
        </w:rPr>
        <w:t>modyfikacji doczekało się także trafiające do każdej rodziny czasopismo „Biuletyn Pobiedziski”, wydawane w nakładzie 5600 egz. i za pośrednictwem Poczty Polskiej trafiające do każdego gospoda</w:t>
      </w:r>
      <w:r w:rsidR="006A3A2B" w:rsidRPr="00D24D37">
        <w:rPr>
          <w:rFonts w:ascii="Calibri" w:hAnsi="Calibri" w:cs="Calibri"/>
          <w:sz w:val="22"/>
        </w:rPr>
        <w:t>rstwa domowego na terenie gminy</w:t>
      </w:r>
      <w:r w:rsidRPr="00D24D37">
        <w:rPr>
          <w:rFonts w:ascii="Calibri" w:hAnsi="Calibri" w:cs="Calibri"/>
          <w:sz w:val="22"/>
        </w:rPr>
        <w:t>,</w:t>
      </w:r>
    </w:p>
    <w:p w:rsidR="00632F8F" w:rsidRPr="00D24D37" w:rsidRDefault="00632F8F" w:rsidP="00E84FFC">
      <w:pPr>
        <w:pStyle w:val="Akapitzlist"/>
        <w:numPr>
          <w:ilvl w:val="0"/>
          <w:numId w:val="15"/>
        </w:numPr>
        <w:spacing w:line="276" w:lineRule="auto"/>
        <w:jc w:val="both"/>
        <w:rPr>
          <w:rFonts w:ascii="Calibri" w:hAnsi="Calibri"/>
          <w:sz w:val="22"/>
        </w:rPr>
      </w:pPr>
      <w:r w:rsidRPr="00D24D37">
        <w:rPr>
          <w:rFonts w:ascii="Calibri" w:hAnsi="Calibri" w:cs="Calibri"/>
          <w:sz w:val="22"/>
        </w:rPr>
        <w:t>od poc</w:t>
      </w:r>
      <w:r w:rsidRPr="00D24D37">
        <w:rPr>
          <w:rFonts w:ascii="Calibri" w:hAnsi="Calibri"/>
          <w:sz w:val="22"/>
        </w:rPr>
        <w:t>zątku 2010 roku zaczęła działać telewizja internetowa. Na www.itvpobiedziska.pl obejrzeć można relacje z najnowszych wydarzeń oraz działań podejmowanych przez mieszkańców i władze gminy. Ukazujący się co miesiąc telewizyjny serwis informacyjny obejrzeć można też na stronie gminy www.pobiedziska.pl</w:t>
      </w:r>
    </w:p>
    <w:p w:rsidR="00632F8F" w:rsidRPr="00D24D37" w:rsidRDefault="00632F8F" w:rsidP="00E84FFC">
      <w:pPr>
        <w:pStyle w:val="Akapitzlist"/>
        <w:numPr>
          <w:ilvl w:val="0"/>
          <w:numId w:val="15"/>
        </w:numPr>
        <w:spacing w:after="240" w:line="276" w:lineRule="auto"/>
        <w:jc w:val="both"/>
        <w:rPr>
          <w:rFonts w:ascii="Calibri" w:hAnsi="Calibri"/>
          <w:sz w:val="22"/>
        </w:rPr>
      </w:pPr>
      <w:r w:rsidRPr="00D24D37">
        <w:rPr>
          <w:rFonts w:ascii="Calibri" w:hAnsi="Calibri"/>
          <w:sz w:val="22"/>
        </w:rPr>
        <w:t xml:space="preserve">na bieżąco o działalności pobiedziskiego samorządu informowane są media lokalne </w:t>
      </w:r>
      <w:r w:rsidR="00C56D36">
        <w:rPr>
          <w:rFonts w:ascii="Calibri" w:hAnsi="Calibri"/>
          <w:sz w:val="22"/>
        </w:rPr>
        <w:br/>
      </w:r>
      <w:r w:rsidRPr="00D24D37">
        <w:rPr>
          <w:rFonts w:ascii="Calibri" w:hAnsi="Calibri"/>
          <w:sz w:val="22"/>
        </w:rPr>
        <w:t>i ogólnopolskie, co skutkuje ukazującymi się często na łamach prasy artykułami</w:t>
      </w:r>
      <w:r w:rsidR="006A3A2B" w:rsidRPr="00D24D37">
        <w:rPr>
          <w:rFonts w:ascii="Calibri" w:hAnsi="Calibri"/>
          <w:sz w:val="22"/>
        </w:rPr>
        <w:t>.</w:t>
      </w:r>
    </w:p>
    <w:p w:rsidR="00632F8F" w:rsidRPr="00D24D37" w:rsidRDefault="006A3A2B" w:rsidP="00632F8F">
      <w:pPr>
        <w:spacing w:after="0"/>
        <w:jc w:val="both"/>
      </w:pPr>
      <w:r w:rsidRPr="00D24D37">
        <w:t>Założono</w:t>
      </w:r>
      <w:r w:rsidR="00D24D37" w:rsidRPr="00D24D37">
        <w:t xml:space="preserve"> dystrybucję informacji poprzez</w:t>
      </w:r>
      <w:r w:rsidR="00632F8F" w:rsidRPr="00D24D37">
        <w:t>:</w:t>
      </w:r>
    </w:p>
    <w:p w:rsidR="00632F8F" w:rsidRPr="00D24D37" w:rsidRDefault="00632F8F" w:rsidP="00E84FFC">
      <w:pPr>
        <w:numPr>
          <w:ilvl w:val="0"/>
          <w:numId w:val="33"/>
        </w:numPr>
        <w:spacing w:after="0"/>
        <w:jc w:val="both"/>
      </w:pPr>
      <w:r w:rsidRPr="00D24D37">
        <w:lastRenderedPageBreak/>
        <w:t xml:space="preserve">zamieszczanie informacji na stronie internetowej z możliwością pobrania materiałów </w:t>
      </w:r>
      <w:r w:rsidR="00C56D36">
        <w:br/>
      </w:r>
      <w:r w:rsidRPr="00D24D37">
        <w:t>w wersji do wydruku,</w:t>
      </w:r>
    </w:p>
    <w:p w:rsidR="00632F8F" w:rsidRPr="00D24D37" w:rsidRDefault="00632F8F" w:rsidP="00E84FFC">
      <w:pPr>
        <w:numPr>
          <w:ilvl w:val="0"/>
          <w:numId w:val="33"/>
        </w:numPr>
        <w:spacing w:after="0"/>
        <w:jc w:val="both"/>
      </w:pPr>
      <w:r w:rsidRPr="00D24D37">
        <w:t>wywiady, ogłoszenia, informacje w mediach,</w:t>
      </w:r>
    </w:p>
    <w:p w:rsidR="00632F8F" w:rsidRPr="00D24D37" w:rsidRDefault="00D24D37" w:rsidP="00E84FFC">
      <w:pPr>
        <w:numPr>
          <w:ilvl w:val="0"/>
          <w:numId w:val="33"/>
        </w:numPr>
        <w:spacing w:after="0"/>
        <w:jc w:val="both"/>
      </w:pPr>
      <w:r w:rsidRPr="00D24D37">
        <w:t xml:space="preserve">dystrybucję materiałów podczas </w:t>
      </w:r>
      <w:r w:rsidR="00632F8F" w:rsidRPr="00D24D37">
        <w:t>szkoleń, spotkań celowych itp.,</w:t>
      </w:r>
    </w:p>
    <w:p w:rsidR="00632F8F" w:rsidRPr="00D24D37" w:rsidRDefault="00D24D37" w:rsidP="00E84FFC">
      <w:pPr>
        <w:numPr>
          <w:ilvl w:val="0"/>
          <w:numId w:val="33"/>
        </w:numPr>
        <w:jc w:val="both"/>
      </w:pPr>
      <w:r w:rsidRPr="00D24D37">
        <w:t>wydawanie własnych materiałów</w:t>
      </w:r>
      <w:r w:rsidR="00632F8F" w:rsidRPr="00D24D37">
        <w:t>: plakaty informacyjne zgodnie z zapotrzebowaniem, gadżety promocyjne wykorzystywane podczas imprez masowych oraz szkoleniowych, ulotki informacyjne przygotowywane na danego typu przedsięwzięcia, foldery promujące gminę.</w:t>
      </w:r>
    </w:p>
    <w:p w:rsidR="00632F8F" w:rsidRPr="00D24D37" w:rsidRDefault="00632F8F" w:rsidP="00632F8F">
      <w:pPr>
        <w:jc w:val="both"/>
      </w:pPr>
      <w:r w:rsidRPr="00D24D37">
        <w:t xml:space="preserve">W celu poprawy wyrazistości przekazów informacyjnych stworzono nowoczesny logotyp gminy </w:t>
      </w:r>
      <w:r w:rsidR="00C56D36">
        <w:br/>
      </w:r>
      <w:r w:rsidRPr="00D24D37">
        <w:t>i hasło promujące „Pobiedziska – moc inspiracji”, które stały się kluczowym elementem systemu identyfikacji wizualnej, a zastosowane w logotypie kształty i kolory stały się podstawą do tworzenia symboli dekoracyjnych. Dzięki temu wszelkie wydawane mate</w:t>
      </w:r>
      <w:r w:rsidR="00D24D37" w:rsidRPr="00D24D37">
        <w:t>riały promocyjne i informacyjne</w:t>
      </w:r>
      <w:r w:rsidRPr="00D24D37">
        <w:t xml:space="preserve"> są ujednolicone i wyraźniejsze w swoim przekazie.</w:t>
      </w:r>
    </w:p>
    <w:p w:rsidR="00632F8F" w:rsidRPr="00D24D37" w:rsidRDefault="00632F8F" w:rsidP="00D24D37">
      <w:pPr>
        <w:spacing w:after="0"/>
        <w:jc w:val="both"/>
        <w:rPr>
          <w:b/>
        </w:rPr>
      </w:pPr>
      <w:r w:rsidRPr="00D24D37">
        <w:rPr>
          <w:b/>
        </w:rPr>
        <w:t>OBSZAR II - DZIAŁANIA MAJĄCE NA CELU POZYSKIWANIE INWESTORÓW I PROMOWANIE LOKALNEJ PRZEDSIĘBIORCZOŚCI</w:t>
      </w:r>
    </w:p>
    <w:p w:rsidR="00632F8F" w:rsidRPr="00D24D37" w:rsidRDefault="00632F8F" w:rsidP="00D24D37">
      <w:pPr>
        <w:spacing w:after="0"/>
        <w:jc w:val="both"/>
      </w:pPr>
      <w:r w:rsidRPr="00D24D37">
        <w:t>Sprowadzen</w:t>
      </w:r>
      <w:r w:rsidR="00D24D37" w:rsidRPr="00D24D37">
        <w:t xml:space="preserve">ie do gminy Pobiedziska nowych </w:t>
      </w:r>
      <w:r w:rsidRPr="00D24D37">
        <w:t>inwestor</w:t>
      </w:r>
      <w:r w:rsidR="00D24D37" w:rsidRPr="00D24D37">
        <w:t xml:space="preserve">ów </w:t>
      </w:r>
      <w:r w:rsidRPr="00D24D37">
        <w:t>to szansa na nowe stanow</w:t>
      </w:r>
      <w:r w:rsidR="00D24D37" w:rsidRPr="00D24D37">
        <w:t xml:space="preserve">iska pracy, a co za tym idzie </w:t>
      </w:r>
      <w:r w:rsidRPr="00D24D37">
        <w:t>lepsze warunki życia mieszkańców</w:t>
      </w:r>
      <w:r w:rsidR="00D24D37" w:rsidRPr="00D24D37">
        <w:t xml:space="preserve">. Promocja miejsc atrakcyjnych </w:t>
      </w:r>
      <w:r w:rsidRPr="00D24D37">
        <w:t>dla inwestorów oraz</w:t>
      </w:r>
      <w:r w:rsidR="00D24D37" w:rsidRPr="00D24D37">
        <w:t xml:space="preserve"> tworzenie przyjaznego klimatu wobec inwestorów to działania, </w:t>
      </w:r>
      <w:r w:rsidRPr="00D24D37">
        <w:t>które służą osiągnięciu powyższego celu. Niezwykl</w:t>
      </w:r>
      <w:r w:rsidR="00D24D37" w:rsidRPr="00D24D37">
        <w:t xml:space="preserve">e istotne jest również </w:t>
      </w:r>
      <w:r w:rsidRPr="00D24D37">
        <w:t>promowanie lokalnych przedsi</w:t>
      </w:r>
      <w:r w:rsidR="006A3A2B" w:rsidRPr="00D24D37">
        <w:t>ębiorców</w:t>
      </w:r>
      <w:r w:rsidRPr="00D24D37">
        <w:t>, jako pozytywny przykład możliwości gospodarczych gminy, a istotnym narzędziem promocji jest prezentacja przedsiębiorców, którzy przyczyniają się do budowan</w:t>
      </w:r>
      <w:r w:rsidR="00D24D37" w:rsidRPr="00D24D37">
        <w:t>ia pozytywnego wizerunku gminy.</w:t>
      </w:r>
    </w:p>
    <w:p w:rsidR="00632F8F" w:rsidRPr="00D24D37" w:rsidRDefault="00632F8F" w:rsidP="00D24D37">
      <w:pPr>
        <w:spacing w:after="0"/>
        <w:jc w:val="both"/>
      </w:pPr>
      <w:r w:rsidRPr="00D24D37">
        <w:rPr>
          <w:rFonts w:cs="Calibri"/>
        </w:rPr>
        <w:t>Gmina Pobiedziska aktywnie uczestniczyła w pracach komisji konkursowej „Gospodarczo-Samorządowy” Hit Regionu. Celem konkursu jest promocja najlepszych produktów, usług i dokonań firm, samorządów lokalnych oraz przedsięwzięć ekologicznych i organizacyjny</w:t>
      </w:r>
      <w:r w:rsidRPr="00D24D37">
        <w:t>ch. Konkurs służy promocji walorów gospodarczych i ekologicznych regionu, jego powiatów i gmin.</w:t>
      </w:r>
    </w:p>
    <w:p w:rsidR="00632F8F" w:rsidRPr="00D24D37" w:rsidRDefault="00632F8F" w:rsidP="00D24D37">
      <w:pPr>
        <w:spacing w:after="0"/>
        <w:jc w:val="both"/>
      </w:pPr>
      <w:r w:rsidRPr="00D24D37">
        <w:t>W celu podkreślenia efektywności samorządu na wielu polach działania Gmina Pobiedziska zgłoszona została do kilku ogólnopolskich konkursów</w:t>
      </w:r>
      <w:r w:rsidR="000664D5" w:rsidRPr="00D24D37">
        <w:t xml:space="preserve"> i plebiscytów, w których</w:t>
      </w:r>
      <w:r w:rsidRPr="00D24D37">
        <w:t xml:space="preserve"> zdobywała wysoką ocenę </w:t>
      </w:r>
      <w:r w:rsidR="00C56D36">
        <w:br/>
      </w:r>
      <w:r w:rsidRPr="00D24D37">
        <w:t xml:space="preserve">i uznanie. Pobiedziska są laureatem konkursu „Grunt na medal”, w którym w 2008 r. uznano, że gmina dysponuje najatrakcyjniejszymi terenami inwestycyjnymi w Wielkopolsce. W </w:t>
      </w:r>
      <w:r w:rsidR="00D24D37" w:rsidRPr="00D24D37">
        <w:t>rankingu</w:t>
      </w:r>
      <w:r w:rsidRPr="00D24D37">
        <w:t xml:space="preserve"> „Europejska Gmina - Europejskie Miasto” wskazującym samorządy najskuteczniej pozyskujące fundusze UE, Pobiedziska zajęły w 2010 r. wśród 226 gmin w Wielkopolsce zaszczytne trzecie miejs</w:t>
      </w:r>
      <w:r w:rsidR="006A3A2B" w:rsidRPr="00D24D37">
        <w:t>ce</w:t>
      </w:r>
      <w:r w:rsidRPr="00D24D37">
        <w:t xml:space="preserve"> oraz 14 miejsce wśród 592 gmin województw: wielkopolskiego, lubuskiego, dolnośląskiego </w:t>
      </w:r>
      <w:r w:rsidR="00C56D36">
        <w:br/>
      </w:r>
      <w:r w:rsidRPr="00D24D37">
        <w:t xml:space="preserve">i zachodniopomorskiego. Kolejne certyfikaty potwierdziły jakość działań na rzecz rozwoju sportu </w:t>
      </w:r>
      <w:r w:rsidR="00C56D36">
        <w:br/>
      </w:r>
      <w:r w:rsidRPr="00D24D37">
        <w:t>i rekreacji. W 2010 r. Pobiedziska otrzymały tytuł „Sportowa Gmina”, a w 2011 r. „Aktywne miasto”.</w:t>
      </w:r>
    </w:p>
    <w:p w:rsidR="006A3A2B" w:rsidRPr="00D24D37" w:rsidRDefault="00632F8F" w:rsidP="00632F8F">
      <w:pPr>
        <w:spacing w:after="240"/>
        <w:jc w:val="both"/>
      </w:pPr>
      <w:r w:rsidRPr="00D24D37">
        <w:t xml:space="preserve">Stworzono warunki i możliwości do lepszej promocji obszarów prorozwojowych poprzez rozbudowę promocji internetowej i wydawniczej oraz efektywną dystrybucję materiałów promocyjnych w kraju </w:t>
      </w:r>
      <w:r w:rsidR="00C56D36">
        <w:br/>
      </w:r>
      <w:r w:rsidRPr="00D24D37">
        <w:t xml:space="preserve">i za granicą, na targach inwestycyjnych oraz spotkaniach biznesowych. Systematyczne uzbrajane są </w:t>
      </w:r>
      <w:r w:rsidR="00C56D36">
        <w:br/>
      </w:r>
      <w:r w:rsidRPr="00D24D37">
        <w:t>w infrastrukturę techniczną tereny proinwestycyjne, ze szczególnym uwzględnieniem tych terenów, które są przeznaczone pod działalność gospodarczą, preferowaną na terenie gminy Pobiedziska.</w:t>
      </w:r>
    </w:p>
    <w:p w:rsidR="00632F8F" w:rsidRPr="00D24D37" w:rsidRDefault="00632F8F" w:rsidP="00D24D37">
      <w:pPr>
        <w:spacing w:after="0"/>
        <w:jc w:val="both"/>
      </w:pPr>
      <w:r w:rsidRPr="00D24D37">
        <w:rPr>
          <w:b/>
        </w:rPr>
        <w:t>OBSZAR III -DZIAŁANIA KULTURALNE I TURYSTYCZNE</w:t>
      </w:r>
    </w:p>
    <w:p w:rsidR="006F42A0" w:rsidRPr="00D24D37" w:rsidRDefault="00D24D37" w:rsidP="00D24D37">
      <w:pPr>
        <w:spacing w:after="0"/>
        <w:jc w:val="both"/>
      </w:pPr>
      <w:r w:rsidRPr="00D24D37">
        <w:t>Celem</w:t>
      </w:r>
      <w:r>
        <w:t xml:space="preserve"> tych działań jest </w:t>
      </w:r>
      <w:r w:rsidR="00632F8F" w:rsidRPr="00D24D37">
        <w:t>podniesienie atr</w:t>
      </w:r>
      <w:r>
        <w:t xml:space="preserve">akcyjności gminy Pobiedziska. </w:t>
      </w:r>
      <w:r w:rsidR="00632F8F" w:rsidRPr="00D24D37">
        <w:t>Wskazanie jej walorów turystyczno-rekreacyjnych i historycznych. Dla osiągn</w:t>
      </w:r>
      <w:r w:rsidR="000664D5" w:rsidRPr="00D24D37">
        <w:t>ięcia tego celu założono</w:t>
      </w:r>
      <w:r w:rsidR="00632F8F" w:rsidRPr="00D24D37">
        <w:t xml:space="preserve"> ścisłą współpracę </w:t>
      </w:r>
      <w:r w:rsidR="00C56D36">
        <w:br/>
      </w:r>
      <w:r w:rsidR="00632F8F" w:rsidRPr="00D24D37">
        <w:t>z jednostkami zajmującymi się kulturą, sportem i oświatą na terenie gminy oraz instytucjami zewnętrznymi w celu  podjęcia następujących działań:</w:t>
      </w:r>
    </w:p>
    <w:p w:rsidR="006F42A0" w:rsidRPr="00D24D37" w:rsidRDefault="006F42A0" w:rsidP="00E84FFC">
      <w:pPr>
        <w:numPr>
          <w:ilvl w:val="0"/>
          <w:numId w:val="34"/>
        </w:numPr>
        <w:spacing w:after="0"/>
        <w:jc w:val="both"/>
      </w:pPr>
      <w:r w:rsidRPr="00D24D37">
        <w:lastRenderedPageBreak/>
        <w:t>ścisła współpraca z Ośrodkiem Sportu i Rekreacji oraz placówkami oświatowymi przy o</w:t>
      </w:r>
      <w:r w:rsidR="00D24D37" w:rsidRPr="00D24D37">
        <w:t>rganizowaniu imprez</w:t>
      </w:r>
      <w:r w:rsidRPr="00D24D37">
        <w:t xml:space="preserve"> sportowych,</w:t>
      </w:r>
    </w:p>
    <w:p w:rsidR="006F42A0" w:rsidRPr="00D24D37" w:rsidRDefault="006F42A0" w:rsidP="00E84FFC">
      <w:pPr>
        <w:numPr>
          <w:ilvl w:val="0"/>
          <w:numId w:val="34"/>
        </w:numPr>
        <w:spacing w:after="0"/>
        <w:jc w:val="both"/>
      </w:pPr>
      <w:r w:rsidRPr="00D24D37">
        <w:t>organizowanie cyklicznych  imprez wpisanych w kalendarium,</w:t>
      </w:r>
    </w:p>
    <w:p w:rsidR="006F42A0" w:rsidRPr="00D24D37" w:rsidRDefault="00D24D37" w:rsidP="00E84FFC">
      <w:pPr>
        <w:numPr>
          <w:ilvl w:val="0"/>
          <w:numId w:val="34"/>
        </w:numPr>
        <w:spacing w:after="0"/>
        <w:jc w:val="both"/>
      </w:pPr>
      <w:r w:rsidRPr="00D24D37">
        <w:t xml:space="preserve">współpraca z </w:t>
      </w:r>
      <w:r w:rsidR="006F42A0" w:rsidRPr="00D24D37">
        <w:t>Ośrodkiem Ku</w:t>
      </w:r>
      <w:r w:rsidRPr="00D24D37">
        <w:t xml:space="preserve">ltury, </w:t>
      </w:r>
      <w:r w:rsidR="006F42A0" w:rsidRPr="00D24D37">
        <w:t>Biblioteką Publiczną</w:t>
      </w:r>
      <w:r w:rsidRPr="00D24D37">
        <w:t xml:space="preserve">, </w:t>
      </w:r>
      <w:r w:rsidR="006F42A0" w:rsidRPr="00D24D37">
        <w:t>w zakresie organizowania spotkań kulturalny</w:t>
      </w:r>
      <w:r w:rsidRPr="00D24D37">
        <w:t xml:space="preserve">ch, wystaw, koncertów i innych </w:t>
      </w:r>
      <w:r w:rsidR="006F42A0" w:rsidRPr="00D24D37">
        <w:t>imprez masowych,</w:t>
      </w:r>
    </w:p>
    <w:p w:rsidR="006F42A0" w:rsidRPr="00D24D37" w:rsidRDefault="006F42A0" w:rsidP="00E84FFC">
      <w:pPr>
        <w:numPr>
          <w:ilvl w:val="0"/>
          <w:numId w:val="34"/>
        </w:numPr>
        <w:spacing w:after="0"/>
        <w:jc w:val="both"/>
      </w:pPr>
      <w:r w:rsidRPr="00D24D37">
        <w:t>zadbanie o stały udział prasy oraz radia w promowaniu miasta i gminy,</w:t>
      </w:r>
    </w:p>
    <w:p w:rsidR="006F42A0" w:rsidRPr="00D24D37" w:rsidRDefault="006F42A0" w:rsidP="00E84FFC">
      <w:pPr>
        <w:numPr>
          <w:ilvl w:val="0"/>
          <w:numId w:val="34"/>
        </w:numPr>
        <w:spacing w:after="0"/>
        <w:jc w:val="both"/>
      </w:pPr>
      <w:r w:rsidRPr="00D24D37">
        <w:t>udzia</w:t>
      </w:r>
      <w:r w:rsidR="00D24D37" w:rsidRPr="00D24D37">
        <w:t>ł w imprezach wystawienniczych,</w:t>
      </w:r>
      <w:r w:rsidRPr="00D24D37">
        <w:t xml:space="preserve"> targach i imprezach promujących</w:t>
      </w:r>
    </w:p>
    <w:p w:rsidR="006F42A0" w:rsidRPr="00D24D37" w:rsidRDefault="006F42A0" w:rsidP="00E84FFC">
      <w:pPr>
        <w:numPr>
          <w:ilvl w:val="0"/>
          <w:numId w:val="34"/>
        </w:numPr>
        <w:spacing w:after="0"/>
        <w:jc w:val="both"/>
      </w:pPr>
      <w:r w:rsidRPr="00D24D37">
        <w:t>organizowanie im</w:t>
      </w:r>
      <w:r w:rsidR="00D24D37" w:rsidRPr="00D24D37">
        <w:t xml:space="preserve">prez o charakterze kulturalnym </w:t>
      </w:r>
      <w:r w:rsidRPr="00D24D37">
        <w:t>- wystaw, odczytów przy wspó</w:t>
      </w:r>
      <w:r w:rsidR="00C56D36">
        <w:t xml:space="preserve">łpracy </w:t>
      </w:r>
      <w:r w:rsidR="00D24D37" w:rsidRPr="00D24D37">
        <w:t xml:space="preserve">Biblioteki Publicznej, </w:t>
      </w:r>
      <w:r w:rsidRPr="00D24D37">
        <w:t>Ośrodka Kultury itp.</w:t>
      </w:r>
    </w:p>
    <w:p w:rsidR="00632F8F" w:rsidRPr="00D24D37" w:rsidRDefault="000664D5" w:rsidP="00E84FFC">
      <w:pPr>
        <w:numPr>
          <w:ilvl w:val="0"/>
          <w:numId w:val="34"/>
        </w:numPr>
        <w:spacing w:after="0"/>
        <w:jc w:val="both"/>
      </w:pPr>
      <w:r w:rsidRPr="00D24D37">
        <w:t xml:space="preserve">wydanie </w:t>
      </w:r>
      <w:r w:rsidR="00D24D37" w:rsidRPr="00D24D37">
        <w:t xml:space="preserve">folderu, gadżetów promocyjnych </w:t>
      </w:r>
      <w:r w:rsidRPr="00D24D37">
        <w:t>oraz mapy gminy</w:t>
      </w:r>
      <w:r w:rsidR="00632F8F" w:rsidRPr="00D24D37">
        <w:t>,</w:t>
      </w:r>
    </w:p>
    <w:p w:rsidR="00632F8F" w:rsidRPr="00D24D37" w:rsidRDefault="00632F8F" w:rsidP="00E84FFC">
      <w:pPr>
        <w:numPr>
          <w:ilvl w:val="0"/>
          <w:numId w:val="34"/>
        </w:numPr>
        <w:spacing w:after="0"/>
        <w:jc w:val="both"/>
      </w:pPr>
      <w:r w:rsidRPr="00D24D37">
        <w:t>wykupienie miejsca na fol</w:t>
      </w:r>
      <w:r w:rsidR="00D24D37" w:rsidRPr="00D24D37">
        <w:t xml:space="preserve">derach promujących województwo </w:t>
      </w:r>
      <w:r w:rsidRPr="00D24D37">
        <w:t>lub powiat</w:t>
      </w:r>
      <w:r w:rsidR="006F42A0" w:rsidRPr="00D24D37">
        <w:t>.</w:t>
      </w:r>
    </w:p>
    <w:p w:rsidR="00632F8F" w:rsidRPr="00D24D37" w:rsidRDefault="00632F8F" w:rsidP="00632F8F">
      <w:pPr>
        <w:jc w:val="both"/>
      </w:pPr>
      <w:r w:rsidRPr="00D24D37">
        <w:t xml:space="preserve">Gmina Pobiedziska jest członkiem stowarzyszeń, które wśród swoich celów statutowych szczególnie wskazują promocję regionu. Pobiedziska są jedną z 6 gmin członkowskich Związku Międzygminnego „Puszcza Zielonka”, jedną z 14 gmin członkowskich Stowarzyszenia Światowid oraz jednym </w:t>
      </w:r>
      <w:r w:rsidR="00C56D36">
        <w:br/>
      </w:r>
      <w:r w:rsidRPr="00D24D37">
        <w:t>z 39 członków „Poznańskiej Lokalnej Organizacji Turystycznej”. Każde ze stowarzyszeń podejmuje różnorakie działania informacyjno promocyjne, które wzmacniają pozytywny wizerunek gminy.</w:t>
      </w:r>
    </w:p>
    <w:p w:rsidR="00632F8F" w:rsidRPr="00D24D37" w:rsidRDefault="00632F8F" w:rsidP="00D24D37">
      <w:pPr>
        <w:spacing w:after="0"/>
        <w:jc w:val="both"/>
        <w:rPr>
          <w:b/>
        </w:rPr>
      </w:pPr>
      <w:r w:rsidRPr="00D24D37">
        <w:rPr>
          <w:b/>
        </w:rPr>
        <w:t>OBSZAR IV - WYSZUKIWANIE I NAWIĄZYWANIE WSPÓŁPRACY Z PARTNERAMI SPOŁECZNYMI, ORGANIZACJAMI POZARZĄDOWYMI</w:t>
      </w:r>
    </w:p>
    <w:p w:rsidR="00632F8F" w:rsidRPr="001A0F2F" w:rsidRDefault="00D24D37" w:rsidP="00D24D37">
      <w:pPr>
        <w:spacing w:after="0"/>
        <w:jc w:val="both"/>
      </w:pPr>
      <w:r w:rsidRPr="001A0F2F">
        <w:t xml:space="preserve">Dla skutecznej </w:t>
      </w:r>
      <w:r w:rsidR="00632F8F" w:rsidRPr="001A0F2F">
        <w:t>realizacji zadań z zakresu promocji Miasta i Gminy Pobiedziska konieczne jest podejmowanie działań zmierzając</w:t>
      </w:r>
      <w:r w:rsidR="004A558A">
        <w:t xml:space="preserve">ych do nawiązania współpracy z </w:t>
      </w:r>
      <w:r w:rsidR="00632F8F" w:rsidRPr="001A0F2F">
        <w:t>partnerami społecznymi, organizacjami pozarzą</w:t>
      </w:r>
      <w:r w:rsidR="004A558A">
        <w:t>dowymi,</w:t>
      </w:r>
      <w:r w:rsidRPr="001A0F2F">
        <w:t xml:space="preserve"> miastami partnerskimi.</w:t>
      </w:r>
    </w:p>
    <w:p w:rsidR="00632F8F" w:rsidRDefault="00632F8F" w:rsidP="00632F8F">
      <w:pPr>
        <w:jc w:val="both"/>
      </w:pPr>
      <w:r w:rsidRPr="001A0F2F">
        <w:t xml:space="preserve">Skuteczna promocja Pobiedzisk zaowocowała nawiązaniem współpracy z gminami partnerskimi. Najsilniejsze więzi zbudowano z gminami Marktheidenfeld w Niemczech i Montfort sur Meu we Francji, które wraz z Pobiedziskami łączy dziś trójstronne porozumienie. Wskutek tego w każdym </w:t>
      </w:r>
      <w:r w:rsidR="004A558A">
        <w:br/>
      </w:r>
      <w:r w:rsidRPr="001A0F2F">
        <w:t xml:space="preserve">z regionów odbywają się corocznie liczne wspólne imprezy i przedsięwzięcia. Celem dla władz samorządowych Pobiedzisk było budowanie współpracy przede wszystkim na linii mieszkańców, działaczy społecznych, sportowców i artystów. Gmina czyni starania o wznowienie kontaktów </w:t>
      </w:r>
      <w:r w:rsidR="004A558A">
        <w:br/>
      </w:r>
      <w:r w:rsidRPr="001A0F2F">
        <w:t>z Białorusią oraz Szwecją. Sporadycznie mają miejsce spotkania z samorządami lokalnymi innych krajów podczas realizowanych projektów unijnych, wizyt inwestorów czy też przy różnych innych okazjach (m.in. goszczono delegacje samorządowców z Danii i Ukrainy).</w:t>
      </w:r>
    </w:p>
    <w:p w:rsidR="001A0F2F" w:rsidRDefault="00E07640" w:rsidP="00632F8F">
      <w:pPr>
        <w:jc w:val="both"/>
        <w:rPr>
          <w:rFonts w:cs="ACaslonPro-Regular"/>
        </w:rPr>
      </w:pPr>
      <w:r w:rsidRPr="00E07640">
        <w:rPr>
          <w:rFonts w:cs="ACaslonPro-Regular"/>
        </w:rPr>
      </w:r>
      <w:r w:rsidR="00535843" w:rsidRPr="00E07640">
        <w:rPr>
          <w:rFonts w:cs="ACaslonPro-Regular"/>
        </w:rPr>
        <w:pict>
          <v:shape id="_x0000_s1030" type="#_x0000_t185" style="width:96.8pt;height:452.5pt;rotation:-270;mso-wrap-distance-right:36pt;mso-position-horizontal-relative:char;mso-position-vertical-relative:line;mso-height-relative:margin" o:allowincell="f" adj="2346" fillcolor="#4f81bd [3204]" strokecolor="#943634 [2405]" strokeweight="1pt">
            <v:shadow on="t" type="double" opacity=".5" color2="shadow add(102)" offset="3pt,-3pt" offset2="6pt,-6pt"/>
            <v:textbox style="mso-next-textbox:#_x0000_s1030;mso-fit-shape-to-text:t" inset="18pt,18pt,,18pt">
              <w:txbxContent>
                <w:p w:rsidR="00291CA0" w:rsidRPr="00517EE9" w:rsidRDefault="00291CA0" w:rsidP="00400E6B">
                  <w:pPr>
                    <w:spacing w:before="120" w:after="120"/>
                    <w:jc w:val="both"/>
                    <w:rPr>
                      <w:b/>
                      <w:i/>
                      <w:iCs/>
                      <w:color w:val="943634" w:themeColor="accent2" w:themeShade="BF"/>
                    </w:rPr>
                  </w:pPr>
                  <w:r w:rsidRPr="00517EE9">
                    <w:rPr>
                      <w:b/>
                      <w:i/>
                      <w:iCs/>
                      <w:color w:val="943634" w:themeColor="accent2" w:themeShade="BF"/>
                    </w:rPr>
                    <w:t>KONKLUZJE STRATEGICZNE</w:t>
                  </w:r>
                </w:p>
                <w:p w:rsidR="00291CA0" w:rsidRPr="00F40595" w:rsidRDefault="00291CA0" w:rsidP="00400E6B">
                  <w:pPr>
                    <w:spacing w:before="120" w:after="120"/>
                    <w:jc w:val="both"/>
                    <w:rPr>
                      <w:b/>
                      <w:i/>
                      <w:iCs/>
                      <w:color w:val="808080" w:themeColor="background1" w:themeShade="80"/>
                    </w:rPr>
                  </w:pPr>
                  <w:r>
                    <w:rPr>
                      <w:b/>
                      <w:i/>
                      <w:iCs/>
                      <w:color w:val="808080" w:themeColor="background1" w:themeShade="80"/>
                    </w:rPr>
                    <w:t>Realizowane przez Gminę działania promocyjne poprawiły kontakt z mieszkańcami. W celu pozyskiwania inwestorów i promowania lokalnej przedsiębiorczości została rozbudowana promocja internetowa i wydawnicza, uzbrajane są tereny proinwestycyjne. W obszarze kultury i turystyki Samorząd współpracuje z różnymi instytucjami zewnętrznymi. Gmina rozwija także współpracę z partnerami społecznymi, organizacjami pozarządowymi.</w:t>
                  </w:r>
                </w:p>
              </w:txbxContent>
            </v:textbox>
            <w10:wrap type="none" anchorx="margin" anchory="margin"/>
            <w10:anchorlock/>
          </v:shape>
        </w:pict>
      </w:r>
    </w:p>
    <w:p w:rsidR="00535843" w:rsidRDefault="00535843" w:rsidP="00632F8F">
      <w:pPr>
        <w:jc w:val="both"/>
        <w:rPr>
          <w:rFonts w:cs="ACaslonPro-Regular"/>
        </w:rPr>
      </w:pPr>
    </w:p>
    <w:p w:rsidR="00535843" w:rsidRPr="00535843" w:rsidRDefault="00535843" w:rsidP="00535843">
      <w:pPr>
        <w:pStyle w:val="Nagwek1"/>
        <w:numPr>
          <w:ilvl w:val="0"/>
          <w:numId w:val="1"/>
        </w:numPr>
        <w:rPr>
          <w:rFonts w:asciiTheme="minorHAnsi" w:hAnsiTheme="minorHAnsi" w:cs="Tahoma"/>
          <w:color w:val="632423" w:themeColor="accent2" w:themeShade="80"/>
          <w:sz w:val="28"/>
        </w:rPr>
      </w:pPr>
      <w:bookmarkStart w:id="33" w:name="_Toc321135348"/>
      <w:r w:rsidRPr="00535843">
        <w:rPr>
          <w:rFonts w:asciiTheme="minorHAnsi" w:hAnsiTheme="minorHAnsi" w:cs="Tahoma"/>
          <w:color w:val="632423" w:themeColor="accent2" w:themeShade="80"/>
          <w:sz w:val="28"/>
        </w:rPr>
        <w:lastRenderedPageBreak/>
        <w:t>Wyniki badań ankietowych</w:t>
      </w:r>
      <w:bookmarkEnd w:id="33"/>
    </w:p>
    <w:p w:rsidR="00535843" w:rsidRPr="00535843" w:rsidRDefault="00535843" w:rsidP="00535843">
      <w:pPr>
        <w:pStyle w:val="Nagwek2"/>
        <w:rPr>
          <w:rFonts w:asciiTheme="minorHAnsi" w:hAnsiTheme="minorHAnsi"/>
          <w:color w:val="632423" w:themeColor="accent2" w:themeShade="80"/>
        </w:rPr>
      </w:pPr>
      <w:bookmarkStart w:id="34" w:name="_Toc321135349"/>
      <w:r w:rsidRPr="00535843">
        <w:rPr>
          <w:rFonts w:asciiTheme="minorHAnsi" w:hAnsiTheme="minorHAnsi"/>
          <w:color w:val="632423" w:themeColor="accent2" w:themeShade="80"/>
        </w:rPr>
        <w:t>9.1 Proces ankietyzacji</w:t>
      </w:r>
      <w:bookmarkEnd w:id="34"/>
    </w:p>
    <w:p w:rsidR="00535843" w:rsidRDefault="006A4CD5" w:rsidP="00632F8F">
      <w:pPr>
        <w:jc w:val="both"/>
      </w:pPr>
      <w:r>
        <w:t>W procesie opracowywania Strategii Rozwoju Miasta i Gminy Pobiedziska na lata 2012-2022 zostały wykonane badania ankietowe wśród mieszkańców gminy, mieszkańców Poznania oraz przedsiębiorców działających na terenie gminy Pobiedziska.</w:t>
      </w:r>
    </w:p>
    <w:p w:rsidR="006A4CD5" w:rsidRPr="006A4CD5" w:rsidRDefault="006A4CD5" w:rsidP="006A4CD5">
      <w:pPr>
        <w:jc w:val="both"/>
      </w:pPr>
      <w:r w:rsidRPr="006A4CD5">
        <w:t>Badania ankietowe wśród mieszkańców miasta i gminy Pobiedziska</w:t>
      </w:r>
      <w:r>
        <w:t xml:space="preserve"> zostały </w:t>
      </w:r>
      <w:r w:rsidRPr="006A4CD5">
        <w:t xml:space="preserve">wykonane metodą PAPI (Paper and Pencil Interview). Jest to najbardziej tradycyjna technika stosowana przy realizacji badań ilościowych, polegająca na przeprowadzaniu wywiadów z respondentami z wykorzystaniem papierowej ankiety. </w:t>
      </w:r>
      <w:r>
        <w:t>Badania zostały</w:t>
      </w:r>
      <w:r w:rsidRPr="006A4CD5">
        <w:t xml:space="preserve"> wykonane w terenie, to znaczy na ulicach miasta i wybranych mie</w:t>
      </w:r>
      <w:r>
        <w:t>jscowości gminy.</w:t>
      </w:r>
    </w:p>
    <w:p w:rsidR="006A4CD5" w:rsidRDefault="006A4CD5" w:rsidP="00632F8F">
      <w:pPr>
        <w:jc w:val="both"/>
      </w:pPr>
      <w:r w:rsidRPr="006A4CD5">
        <w:t>Wś</w:t>
      </w:r>
      <w:r>
        <w:t>ród mieszkańców Poznania zostały</w:t>
      </w:r>
      <w:r w:rsidRPr="006A4CD5">
        <w:t xml:space="preserve"> przeprowadzone badania metodą CATI (Computer Assisted Telephone Interview). Jest to technika telefonicznego badania ankietowego. Celem tych badań b</w:t>
      </w:r>
      <w:r>
        <w:t>yło</w:t>
      </w:r>
      <w:r w:rsidRPr="006A4CD5">
        <w:t xml:space="preserve"> pozyskanie informacji na temat oceny oferty podpoznańskich gmin pod względem atrakcyjności zamieszkania oraz uprawiania sportu, turystyki</w:t>
      </w:r>
      <w:r>
        <w:t xml:space="preserve"> i rekreacji. Wynikiem badań s</w:t>
      </w:r>
      <w:r w:rsidRPr="006A4CD5">
        <w:t>ą także informacje na temat oczekiwań odnośnie uprawiania sportu, turystyki i rekreacji szczególnie weekendowej.</w:t>
      </w:r>
    </w:p>
    <w:p w:rsidR="006A4CD5" w:rsidRDefault="006A4CD5" w:rsidP="006A4CD5">
      <w:pPr>
        <w:jc w:val="both"/>
      </w:pPr>
      <w:r>
        <w:t>Badania wśród przedsiębiorców prowadzących działalność na terenie Pobiedzisk zostały przeprowadzone metodą CATI (Computer Assisted Telephone Interview). Ich celem było pozyskanie informacji na temat oceny warunków prowadzenia działalności i oczekiwań w zakresie ich poprawy.</w:t>
      </w:r>
    </w:p>
    <w:p w:rsidR="00535843" w:rsidRDefault="00535843" w:rsidP="00632F8F">
      <w:pPr>
        <w:jc w:val="both"/>
      </w:pPr>
    </w:p>
    <w:p w:rsidR="00535843" w:rsidRPr="00535843" w:rsidRDefault="00535843" w:rsidP="00535843">
      <w:pPr>
        <w:pStyle w:val="Nagwek2"/>
        <w:rPr>
          <w:rFonts w:asciiTheme="minorHAnsi" w:hAnsiTheme="minorHAnsi"/>
          <w:color w:val="632423" w:themeColor="accent2" w:themeShade="80"/>
        </w:rPr>
      </w:pPr>
      <w:bookmarkStart w:id="35" w:name="_Toc321135350"/>
      <w:r>
        <w:rPr>
          <w:rFonts w:asciiTheme="minorHAnsi" w:hAnsiTheme="minorHAnsi"/>
          <w:color w:val="632423" w:themeColor="accent2" w:themeShade="80"/>
        </w:rPr>
        <w:t xml:space="preserve">9.2 </w:t>
      </w:r>
      <w:r w:rsidRPr="00535843">
        <w:rPr>
          <w:rFonts w:asciiTheme="minorHAnsi" w:hAnsiTheme="minorHAnsi"/>
          <w:color w:val="632423" w:themeColor="accent2" w:themeShade="80"/>
        </w:rPr>
        <w:t>Pobiedziska okiem mieszkańców</w:t>
      </w:r>
      <w:r w:rsidR="001555C4">
        <w:rPr>
          <w:rFonts w:asciiTheme="minorHAnsi" w:hAnsiTheme="minorHAnsi"/>
          <w:color w:val="632423" w:themeColor="accent2" w:themeShade="80"/>
        </w:rPr>
        <w:t xml:space="preserve"> gminy</w:t>
      </w:r>
      <w:bookmarkEnd w:id="35"/>
    </w:p>
    <w:p w:rsidR="00535843" w:rsidRDefault="00EF6F08" w:rsidP="00632F8F">
      <w:pPr>
        <w:jc w:val="both"/>
      </w:pPr>
      <w:r>
        <w:t>Badanie przeprowadzono na próbie 200 mieszkańców gminy Pobiedziska. Badaną populacją były</w:t>
      </w:r>
      <w:r w:rsidRPr="00EF6F08">
        <w:t xml:space="preserve"> </w:t>
      </w:r>
      <w:r>
        <w:t>osoby</w:t>
      </w:r>
      <w:r w:rsidRPr="00EF6F08">
        <w:t xml:space="preserve"> w wieku 18 lat i powyżej czyli dorośli mieszkańcy gminy. Dobór respondentów był oparty na dostępności badanych, tj. respondenci byli przez ankieterów zatrzymywani na ulicy. Był to zatem dobór nielosowy. </w:t>
      </w:r>
      <w:r>
        <w:t>W</w:t>
      </w:r>
      <w:r w:rsidRPr="00EF6F08">
        <w:t> celu podwyższenia reprezentatywności badania wykonano podział kwotowy respondentów według płci, wieku i wykształcenia zgodnie ze strukturą rozkładu tych cech w </w:t>
      </w:r>
      <w:r>
        <w:t>gminie.</w:t>
      </w:r>
    </w:p>
    <w:p w:rsidR="001C52B2" w:rsidRDefault="001C52B2" w:rsidP="001C52B2">
      <w:pPr>
        <w:pStyle w:val="Akapitzlist"/>
        <w:numPr>
          <w:ilvl w:val="0"/>
          <w:numId w:val="48"/>
        </w:numPr>
        <w:spacing w:before="60" w:after="60" w:line="276" w:lineRule="auto"/>
        <w:ind w:left="567" w:hanging="425"/>
        <w:contextualSpacing/>
        <w:jc w:val="both"/>
        <w:rPr>
          <w:rFonts w:asciiTheme="minorHAnsi" w:hAnsiTheme="minorHAnsi" w:cstheme="minorHAnsi"/>
          <w:b/>
          <w:color w:val="943634" w:themeColor="accent2" w:themeShade="BF"/>
          <w:sz w:val="22"/>
          <w:szCs w:val="22"/>
        </w:rPr>
      </w:pPr>
      <w:r w:rsidRPr="003E60AB">
        <w:rPr>
          <w:rFonts w:asciiTheme="minorHAnsi" w:hAnsiTheme="minorHAnsi" w:cstheme="minorHAnsi"/>
          <w:b/>
          <w:color w:val="943634" w:themeColor="accent2" w:themeShade="BF"/>
          <w:sz w:val="22"/>
          <w:szCs w:val="22"/>
        </w:rPr>
        <w:t>Zakładając, że będzie Pani/Pan mieszkać w gminie Pobiedziska przez najbliższe 10 lat, ale mogłaby/ Pani/mógłby Pan z łatwością przeprowadzić się w inne miejsce o podobnym klimacie, chciałaby Pani/chciałby Pan to zrobić?</w:t>
      </w:r>
    </w:p>
    <w:p w:rsidR="001C52B2" w:rsidRDefault="001C52B2" w:rsidP="001C52B2">
      <w:pPr>
        <w:spacing w:before="60" w:after="60"/>
        <w:jc w:val="both"/>
        <w:rPr>
          <w:rFonts w:cstheme="minorHAnsi"/>
        </w:rPr>
      </w:pPr>
      <w:r w:rsidRPr="00D142CD">
        <w:rPr>
          <w:rFonts w:cstheme="minorHAnsi"/>
        </w:rPr>
        <w:t xml:space="preserve">Zdecydowana większość </w:t>
      </w:r>
      <w:r>
        <w:rPr>
          <w:rFonts w:cstheme="minorHAnsi"/>
        </w:rPr>
        <w:t>mieszkańców gminy Pobiedziska nie zdecydowałaby się na zmianę miejsca zamieszkania. Tego zdania jest aż 81% ankietowanych. Poziom zadowolenia z miejsca zamieszkania wzrasta wraz ze spadkiem poziomu wykształcenia. Zdecydowanie najbardziej chętną grupą do zmiany miejsca zamieszkania są osoby młode, które w blisko połowie gotowi byliby przeprowadzić się w inne miejsce o podobnym klimacie. Chęć przeprowadzki częściej wyrażają kobiety niż mężczyźni.</w:t>
      </w:r>
    </w:p>
    <w:p w:rsidR="001C52B2" w:rsidRDefault="001C52B2" w:rsidP="001C52B2">
      <w:pPr>
        <w:spacing w:before="60" w:after="60"/>
        <w:jc w:val="both"/>
        <w:rPr>
          <w:rFonts w:cstheme="minorHAnsi"/>
        </w:rPr>
      </w:pPr>
      <w:r w:rsidRPr="007C6456">
        <w:rPr>
          <w:rFonts w:cstheme="minorHAnsi"/>
        </w:rPr>
        <w:t>Wnioski:</w:t>
      </w:r>
      <w:r w:rsidRPr="008C433C">
        <w:rPr>
          <w:rFonts w:cstheme="minorHAnsi"/>
        </w:rPr>
        <w:t xml:space="preserve"> </w:t>
      </w:r>
      <w:r>
        <w:rPr>
          <w:rFonts w:cstheme="minorHAnsi"/>
        </w:rPr>
        <w:t>S</w:t>
      </w:r>
      <w:r w:rsidRPr="00D142CD">
        <w:rPr>
          <w:rFonts w:cstheme="minorHAnsi"/>
        </w:rPr>
        <w:t>trategi</w:t>
      </w:r>
      <w:r>
        <w:rPr>
          <w:rFonts w:cstheme="minorHAnsi"/>
        </w:rPr>
        <w:t>a rozwoju gminy</w:t>
      </w:r>
      <w:r w:rsidRPr="00D142CD">
        <w:rPr>
          <w:rFonts w:cstheme="minorHAnsi"/>
        </w:rPr>
        <w:t xml:space="preserve"> powinn</w:t>
      </w:r>
      <w:r>
        <w:rPr>
          <w:rFonts w:cstheme="minorHAnsi"/>
        </w:rPr>
        <w:t>a</w:t>
      </w:r>
      <w:r w:rsidRPr="00D142CD">
        <w:rPr>
          <w:rFonts w:cstheme="minorHAnsi"/>
        </w:rPr>
        <w:t xml:space="preserve"> uwzględniać </w:t>
      </w:r>
      <w:r>
        <w:rPr>
          <w:rFonts w:cstheme="minorHAnsi"/>
        </w:rPr>
        <w:t>działania zmierzające do poprawy jakości życia szczególnie osób młodych. W kontekście zmian demograficznych przedstawionych w oparciu o dane GUS w diagnozie społeczno-gospodarczej działania te należy traktować priorytetowo.</w:t>
      </w:r>
    </w:p>
    <w:p w:rsidR="001C52B2" w:rsidRPr="00D142CD" w:rsidRDefault="001C52B2" w:rsidP="001C52B2">
      <w:pPr>
        <w:spacing w:before="60" w:after="60"/>
        <w:jc w:val="both"/>
        <w:rPr>
          <w:rFonts w:cstheme="minorHAnsi"/>
        </w:rPr>
      </w:pPr>
      <w:r>
        <w:rPr>
          <w:rFonts w:cstheme="minorHAnsi"/>
        </w:rPr>
        <w:t>Wykres poniżej przedstawia r</w:t>
      </w:r>
      <w:r w:rsidRPr="003E60AB">
        <w:rPr>
          <w:rFonts w:cstheme="minorHAnsi"/>
        </w:rPr>
        <w:t xml:space="preserve">ozkład odpowiedzi na pytanie, czy mieszkańcy </w:t>
      </w:r>
      <w:r>
        <w:rPr>
          <w:rFonts w:cstheme="minorHAnsi"/>
        </w:rPr>
        <w:t>chcieliby przeprowadzić się w inne miejsce o podobnym klimacie.</w:t>
      </w:r>
    </w:p>
    <w:p w:rsidR="001C52B2" w:rsidRDefault="001C52B2" w:rsidP="001C52B2">
      <w:pPr>
        <w:spacing w:before="60" w:after="60"/>
        <w:contextualSpacing/>
        <w:jc w:val="center"/>
        <w:rPr>
          <w:rFonts w:cstheme="minorHAnsi"/>
        </w:rPr>
      </w:pPr>
      <w:r w:rsidRPr="003E60AB">
        <w:rPr>
          <w:rFonts w:cstheme="minorHAnsi"/>
          <w:noProof/>
        </w:rPr>
        <w:lastRenderedPageBreak/>
        <w:drawing>
          <wp:inline distT="0" distB="0" distL="0" distR="0">
            <wp:extent cx="4763386" cy="2828261"/>
            <wp:effectExtent l="0" t="0" r="0" b="0"/>
            <wp:docPr id="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047ED" w:rsidRPr="00271B24" w:rsidRDefault="009047ED" w:rsidP="009047ED">
      <w:pPr>
        <w:pStyle w:val="rdo"/>
      </w:pPr>
      <w:r w:rsidRPr="00271B24">
        <w:t>Źródło: opracowanie własne na podstawie wyników badań ankietowych.</w:t>
      </w:r>
    </w:p>
    <w:p w:rsidR="001C52B2" w:rsidRPr="003E60AB" w:rsidRDefault="001C52B2" w:rsidP="001C52B2">
      <w:pPr>
        <w:spacing w:before="60" w:after="60"/>
        <w:contextualSpacing/>
        <w:jc w:val="center"/>
        <w:rPr>
          <w:rFonts w:cstheme="minorHAnsi"/>
        </w:rPr>
      </w:pPr>
    </w:p>
    <w:p w:rsidR="001C52B2" w:rsidRPr="003E60AB" w:rsidRDefault="001C52B2" w:rsidP="001C52B2">
      <w:pPr>
        <w:pStyle w:val="Akapitzlist"/>
        <w:numPr>
          <w:ilvl w:val="0"/>
          <w:numId w:val="47"/>
        </w:numPr>
        <w:spacing w:before="60" w:after="60" w:line="276" w:lineRule="auto"/>
        <w:ind w:left="567" w:hanging="425"/>
        <w:jc w:val="both"/>
        <w:rPr>
          <w:rFonts w:asciiTheme="minorHAnsi" w:hAnsiTheme="minorHAnsi" w:cstheme="minorHAnsi"/>
          <w:b/>
          <w:color w:val="943634" w:themeColor="accent2" w:themeShade="BF"/>
          <w:sz w:val="22"/>
          <w:szCs w:val="22"/>
        </w:rPr>
      </w:pPr>
      <w:r w:rsidRPr="003E60AB">
        <w:rPr>
          <w:rFonts w:asciiTheme="minorHAnsi" w:hAnsiTheme="minorHAnsi" w:cstheme="minorHAnsi"/>
          <w:b/>
          <w:color w:val="943634" w:themeColor="accent2" w:themeShade="BF"/>
          <w:sz w:val="22"/>
          <w:szCs w:val="22"/>
        </w:rPr>
        <w:t>Czy zgadza się Pani/Pan ze stwierdzeniem, że w gminie Pobiedziska lub w najbliższej okolicy łatwo można znaleźć lub zmienić pracę?</w:t>
      </w:r>
    </w:p>
    <w:p w:rsidR="001C52B2" w:rsidRPr="003E60AB" w:rsidRDefault="001C52B2" w:rsidP="001C52B2">
      <w:pPr>
        <w:spacing w:before="60" w:after="60"/>
        <w:jc w:val="both"/>
        <w:rPr>
          <w:rFonts w:cstheme="minorHAnsi"/>
        </w:rPr>
      </w:pPr>
      <w:r w:rsidRPr="003E60AB">
        <w:rPr>
          <w:rFonts w:cstheme="minorHAnsi"/>
        </w:rPr>
        <w:t xml:space="preserve">Zdecydowana większość mieszkańców gminy Pobiedziska (78%) w ocenie ważonej twierdzi, że znalezienie lub zmiana pracy w </w:t>
      </w:r>
      <w:r>
        <w:rPr>
          <w:rFonts w:cstheme="minorHAnsi"/>
        </w:rPr>
        <w:t>gminie</w:t>
      </w:r>
      <w:r w:rsidRPr="003E60AB">
        <w:rPr>
          <w:rFonts w:cstheme="minorHAnsi"/>
        </w:rPr>
        <w:t xml:space="preserve"> i najbliższej okolicy jest trudne. Oznacza to, że obywatele zaliczają tę sferę do słabych stron gminy. Wskazują jednocześnie, że łatwość lub trudność w znalezieniu pracy ma dla nich stosunkowo </w:t>
      </w:r>
      <w:r>
        <w:rPr>
          <w:rFonts w:cstheme="minorHAnsi"/>
        </w:rPr>
        <w:t>małe</w:t>
      </w:r>
      <w:r w:rsidRPr="003E60AB">
        <w:rPr>
          <w:rFonts w:cstheme="minorHAnsi"/>
        </w:rPr>
        <w:t xml:space="preserve"> znaczenie.</w:t>
      </w:r>
      <w:r w:rsidRPr="003E60AB">
        <w:t xml:space="preserve"> </w:t>
      </w:r>
      <w:r>
        <w:t>Wartość oceny tego kryterium jest zdecydowanie niższa niż średnia dla wszystkich innych badanych kryteriów jakości życia. Wynika to prawdopodobnie z faktu, że pomimo braku poczucia bezpieczeństwa na rynku pracy, mieszkańcy Pobiedzisk posiadają pracę.</w:t>
      </w:r>
    </w:p>
    <w:p w:rsidR="001C52B2" w:rsidRPr="003E60AB" w:rsidRDefault="001C52B2" w:rsidP="001C52B2">
      <w:pPr>
        <w:spacing w:before="60" w:after="60"/>
        <w:jc w:val="both"/>
        <w:rPr>
          <w:rFonts w:cstheme="minorHAnsi"/>
        </w:rPr>
      </w:pPr>
      <w:r w:rsidRPr="003E60AB">
        <w:rPr>
          <w:rFonts w:cstheme="minorHAnsi"/>
        </w:rPr>
        <w:t>Mężczyźni</w:t>
      </w:r>
      <w:r>
        <w:rPr>
          <w:rFonts w:cstheme="minorHAnsi"/>
        </w:rPr>
        <w:t xml:space="preserve"> częściej niż kobiety twierdzą</w:t>
      </w:r>
      <w:r w:rsidRPr="003E60AB">
        <w:rPr>
          <w:rFonts w:cstheme="minorHAnsi"/>
        </w:rPr>
        <w:t>, że w gminie i najbliższej okolicy trudno jest</w:t>
      </w:r>
      <w:r>
        <w:rPr>
          <w:rFonts w:cstheme="minorHAnsi"/>
        </w:rPr>
        <w:t xml:space="preserve"> znaleźć lub zmienić pracę. N</w:t>
      </w:r>
      <w:r w:rsidRPr="003E60AB">
        <w:rPr>
          <w:rFonts w:cstheme="minorHAnsi"/>
        </w:rPr>
        <w:t xml:space="preserve">egatywnej opinii </w:t>
      </w:r>
      <w:r>
        <w:rPr>
          <w:rFonts w:cstheme="minorHAnsi"/>
        </w:rPr>
        <w:t xml:space="preserve">mieszkańców </w:t>
      </w:r>
      <w:r w:rsidRPr="003E60AB">
        <w:rPr>
          <w:rFonts w:cstheme="minorHAnsi"/>
        </w:rPr>
        <w:t xml:space="preserve">na temat </w:t>
      </w:r>
      <w:r>
        <w:rPr>
          <w:rFonts w:cstheme="minorHAnsi"/>
        </w:rPr>
        <w:t xml:space="preserve">lokalnego </w:t>
      </w:r>
      <w:r w:rsidRPr="003E60AB">
        <w:rPr>
          <w:rFonts w:cstheme="minorHAnsi"/>
        </w:rPr>
        <w:t xml:space="preserve">rynku pracy nie potwierdzają dane statystyczne. Według danych GUS przedstawionych w diagnozie sytuacji społeczno-gospodarczej gminy, osoby bezrobotne stanowią 2,7 % osób w wieku produkcyjnym (2,9% kobiet i 2,5% mężczyzn). To zdecydowanie mniej niż dla Polski i województwa wielkopolskiego. Jednocześnie różnica w stosunku do powiatu poznańskiego jest niewielka, na niekorzyść gminy Pobiedziska. </w:t>
      </w:r>
      <w:r>
        <w:rPr>
          <w:rFonts w:cstheme="minorHAnsi"/>
        </w:rPr>
        <w:t>Wyniki badań mogą wskazywać na brak poczucia bezpieczeństwa na rynku pracy.</w:t>
      </w:r>
    </w:p>
    <w:p w:rsidR="001C52B2" w:rsidRPr="003E60AB" w:rsidRDefault="001C52B2" w:rsidP="001C52B2">
      <w:pPr>
        <w:spacing w:before="60" w:after="60"/>
        <w:jc w:val="both"/>
        <w:rPr>
          <w:rFonts w:cstheme="minorHAnsi"/>
        </w:rPr>
      </w:pPr>
      <w:r w:rsidRPr="003E60AB">
        <w:rPr>
          <w:rFonts w:cstheme="minorHAnsi"/>
        </w:rPr>
        <w:t xml:space="preserve">Co istotne, łatwość znalezienia pracy w gminie i okolicy </w:t>
      </w:r>
      <w:r>
        <w:rPr>
          <w:rFonts w:cstheme="minorHAnsi"/>
        </w:rPr>
        <w:t xml:space="preserve">znacząco </w:t>
      </w:r>
      <w:r w:rsidRPr="003E60AB">
        <w:rPr>
          <w:rFonts w:cstheme="minorHAnsi"/>
        </w:rPr>
        <w:t>wzrasta wraz ze spadkiem wykształcenia. Aż 96% osób z wyższym wykształceniem negatywnie ocenia swoje szanse na znalezienie lub zmianę pracy. Należy jednocześnie zaznaczyć, że również mieszkańcy z wykształceniem zasadniczym i poniżej w zdecydowanej większości (72%) twierdzą, że jest tu trudno znaleźć pracę. Dla nich jednocześnie trudność lub łatwość w znalezieniu pracy jest mniej ważna. Najważniejsze jest to dla osób z wykształceniem średnim lub policealnym, jednak różnice w ocenie istotności tego czynnika we wszystkich grupach były nieznaczne. Istotne różnice w postrzeganiu łatwości znalezienia pracy widoczne są również w poszczególnych grupach wiekowych. Najgorzej tę sferę oceniają ludzie w wieku 40-59 lat, jednak trudność lub łatwość w znalezieniu pracy najistotniejsza jest dla osób młodych w wieku 18-29 lat.</w:t>
      </w:r>
    </w:p>
    <w:p w:rsidR="001C52B2" w:rsidRPr="00D01969" w:rsidRDefault="001C52B2" w:rsidP="001C52B2">
      <w:pPr>
        <w:spacing w:before="60" w:after="60"/>
        <w:jc w:val="both"/>
        <w:rPr>
          <w:rFonts w:cstheme="minorHAnsi"/>
        </w:rPr>
      </w:pPr>
      <w:r w:rsidRPr="00D01969">
        <w:rPr>
          <w:rFonts w:cstheme="minorHAnsi"/>
        </w:rPr>
        <w:lastRenderedPageBreak/>
        <w:t>Wnioski: Popyt na pracę jakościowy lub/i ilościowy na miejsca pracy w gminie jest niezaspokojony i kwestia ta powinna być traktowana w planowaniu strategicznym jako jedna z ważniejszych, zarówno ze względu na ocenę tej sfery wyrażaną przez mieszkańców, jak i ze względu na złożoność tego problemu i fakt, że na rozwiązanie problemów związanych niezaspokojonym popytem na miejsca pracy wpływa bardzo wiele czynników z różnych dziedzin życia i działalności gminy. Problem z dostępem do pracy dotyczy wszystkich grup wiekowych oraz osób z różnym wykształceniem, jednak szczególną uwagę należy zwrócić na osoby z niższym wykształceniem.</w:t>
      </w:r>
    </w:p>
    <w:p w:rsidR="001C52B2" w:rsidRDefault="001C52B2" w:rsidP="001C52B2">
      <w:pPr>
        <w:spacing w:before="60" w:after="60"/>
        <w:jc w:val="both"/>
        <w:rPr>
          <w:rFonts w:cstheme="minorHAnsi"/>
        </w:rPr>
      </w:pPr>
      <w:r w:rsidRPr="003E60AB">
        <w:rPr>
          <w:rFonts w:cstheme="minorHAnsi"/>
        </w:rPr>
        <w:t>Wykresy poniżej prezentują w kolejności: 1) Rozkład odpowiedzi na pytanie, czy mieszkańcy zgadzają się z twierdzeniem, że w gminie Pobiedziska lub w najbliższej okolicy łatwo mogą znaleźć lub zmienić pracę; 2) Średnia oceny, czy łatwość lub trudność w znalezieniu pracy w gminie ma znaczenie w atrakcyjności Pobiedzisk jako miejsca zamieszkania.</w:t>
      </w:r>
    </w:p>
    <w:p w:rsidR="001C52B2" w:rsidRDefault="001C52B2" w:rsidP="001C52B2">
      <w:pPr>
        <w:spacing w:before="60" w:after="60"/>
        <w:jc w:val="center"/>
        <w:rPr>
          <w:rFonts w:cstheme="minorHAnsi"/>
        </w:rPr>
      </w:pPr>
      <w:r w:rsidRPr="003E60AB">
        <w:rPr>
          <w:rFonts w:cstheme="minorHAnsi"/>
          <w:noProof/>
        </w:rPr>
        <w:drawing>
          <wp:inline distT="0" distB="0" distL="0" distR="0">
            <wp:extent cx="4678325" cy="2690038"/>
            <wp:effectExtent l="0" t="0" r="0" b="0"/>
            <wp:docPr id="1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047ED" w:rsidRPr="00271B24" w:rsidRDefault="009047ED" w:rsidP="009047ED">
      <w:pPr>
        <w:pStyle w:val="rdo"/>
      </w:pPr>
      <w:r w:rsidRPr="00271B24">
        <w:t>Źródło: opracowanie własne na podstawie wyników badań ankietowych.</w:t>
      </w:r>
    </w:p>
    <w:p w:rsidR="009047ED" w:rsidRPr="003E60AB" w:rsidRDefault="009047ED" w:rsidP="001C52B2">
      <w:pPr>
        <w:spacing w:before="60" w:after="60"/>
        <w:jc w:val="center"/>
        <w:rPr>
          <w:rFonts w:cstheme="minorHAnsi"/>
        </w:rPr>
      </w:pPr>
    </w:p>
    <w:p w:rsidR="001C52B2" w:rsidRDefault="001C52B2" w:rsidP="001C52B2">
      <w:pPr>
        <w:spacing w:before="60" w:after="60"/>
        <w:jc w:val="center"/>
        <w:rPr>
          <w:rFonts w:cstheme="minorHAnsi"/>
        </w:rPr>
      </w:pPr>
      <w:r w:rsidRPr="003E60AB">
        <w:rPr>
          <w:rFonts w:cstheme="minorHAnsi"/>
          <w:noProof/>
        </w:rPr>
        <w:drawing>
          <wp:inline distT="0" distB="0" distL="0" distR="0">
            <wp:extent cx="4752754" cy="2721935"/>
            <wp:effectExtent l="0" t="0" r="0" b="0"/>
            <wp:docPr id="52"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047ED" w:rsidRPr="009047ED" w:rsidRDefault="009047ED" w:rsidP="009047ED">
      <w:pPr>
        <w:pStyle w:val="rdo"/>
      </w:pPr>
      <w:r w:rsidRPr="00271B24">
        <w:t>Źródło: opracowanie własne na podstawie wyników badań ankietowych.</w:t>
      </w:r>
    </w:p>
    <w:p w:rsidR="001C52B2" w:rsidRDefault="001C52B2" w:rsidP="001C52B2">
      <w:pPr>
        <w:rPr>
          <w:rFonts w:cstheme="minorHAnsi"/>
        </w:rPr>
      </w:pPr>
      <w:r>
        <w:rPr>
          <w:rFonts w:cstheme="minorHAnsi"/>
        </w:rPr>
        <w:br w:type="page"/>
      </w:r>
    </w:p>
    <w:p w:rsidR="001C52B2" w:rsidRPr="003E60AB" w:rsidRDefault="001C52B2" w:rsidP="001C52B2">
      <w:pPr>
        <w:pStyle w:val="Akapitzlist"/>
        <w:numPr>
          <w:ilvl w:val="0"/>
          <w:numId w:val="47"/>
        </w:numPr>
        <w:spacing w:before="60" w:after="60" w:line="276" w:lineRule="auto"/>
        <w:ind w:left="567" w:hanging="425"/>
        <w:jc w:val="both"/>
        <w:rPr>
          <w:rFonts w:asciiTheme="minorHAnsi" w:hAnsiTheme="minorHAnsi" w:cstheme="minorHAnsi"/>
          <w:b/>
          <w:color w:val="943634" w:themeColor="accent2" w:themeShade="BF"/>
          <w:sz w:val="22"/>
          <w:szCs w:val="22"/>
        </w:rPr>
      </w:pPr>
      <w:r w:rsidRPr="003E60AB">
        <w:rPr>
          <w:rFonts w:asciiTheme="minorHAnsi" w:hAnsiTheme="minorHAnsi" w:cstheme="minorHAnsi"/>
          <w:b/>
          <w:color w:val="943634" w:themeColor="accent2" w:themeShade="BF"/>
          <w:sz w:val="22"/>
          <w:szCs w:val="22"/>
        </w:rPr>
        <w:lastRenderedPageBreak/>
        <w:t>Czy zgadza się Pani/Pan ze stwierdzeniem, że w mieście Pobiedziska jest ładnie, panuje tu ogólny ład przestrzenny, budynki są zadbane i mają wartościową estetykę?</w:t>
      </w:r>
    </w:p>
    <w:p w:rsidR="001C52B2" w:rsidRPr="003E60AB" w:rsidRDefault="001C52B2" w:rsidP="001C52B2">
      <w:pPr>
        <w:spacing w:before="60" w:after="60"/>
        <w:jc w:val="both"/>
        <w:rPr>
          <w:rFonts w:cstheme="minorHAnsi"/>
        </w:rPr>
      </w:pPr>
      <w:r w:rsidRPr="003E60AB">
        <w:rPr>
          <w:rFonts w:cstheme="minorHAnsi"/>
        </w:rPr>
        <w:t>Mieszkańcy gminy twierdzą, że miasto Pobiedziska jest ładne, panuje tu ogólny ład przestrzenny, budynki są zadbane i mają wartościową estetykę. Tego zdania jest 88% (ocena ważona) mieszkańców gminy. Mniej o tym są przekonani mężczyźni niż kobiety. Również w grupie osób z wyższym wykształceniem oraz ludzi młodych jest mniej przekonanych, że tak jest, choć należy zaznaczyć, że w żadnej grupie nie odnotowano odmiennego zdania niż większości. Estetyka miasta jest równie ważna dla wszystkich mieszkańców, bez względu na płeć, wiek czy wykształcenie.</w:t>
      </w:r>
    </w:p>
    <w:p w:rsidR="001C52B2" w:rsidRPr="003E60AB" w:rsidRDefault="001C52B2" w:rsidP="001C52B2">
      <w:pPr>
        <w:spacing w:before="60" w:after="60"/>
        <w:jc w:val="both"/>
        <w:rPr>
          <w:rFonts w:cstheme="minorHAnsi"/>
        </w:rPr>
      </w:pPr>
      <w:r w:rsidRPr="008C433C">
        <w:rPr>
          <w:rFonts w:cstheme="minorHAnsi"/>
        </w:rPr>
        <w:t>Wnioski:</w:t>
      </w:r>
      <w:r w:rsidRPr="003E60AB">
        <w:rPr>
          <w:rFonts w:cstheme="minorHAnsi"/>
        </w:rPr>
        <w:t xml:space="preserve"> Estetyka </w:t>
      </w:r>
      <w:r>
        <w:rPr>
          <w:rFonts w:cstheme="minorHAnsi"/>
        </w:rPr>
        <w:t>gminy</w:t>
      </w:r>
      <w:r w:rsidRPr="003E60AB">
        <w:rPr>
          <w:rFonts w:cstheme="minorHAnsi"/>
        </w:rPr>
        <w:t xml:space="preserve"> jest uważana przez mieszkańców za mocną stronę gminy. Jest to też bardzo ważny czynnik atrakcyjności </w:t>
      </w:r>
      <w:r>
        <w:rPr>
          <w:rFonts w:cstheme="minorHAnsi"/>
        </w:rPr>
        <w:t>gminy</w:t>
      </w:r>
      <w:r w:rsidRPr="003E60AB">
        <w:rPr>
          <w:rFonts w:cstheme="minorHAnsi"/>
        </w:rPr>
        <w:t xml:space="preserve"> jako miejsca zamieszkania, a zatem w ramach planowania strategicznego powinno się dążyć do wykorzystania szansy związanej z tą sferą życia gminy.</w:t>
      </w:r>
    </w:p>
    <w:p w:rsidR="001C52B2" w:rsidRPr="003E60AB" w:rsidRDefault="001C52B2" w:rsidP="001C52B2">
      <w:pPr>
        <w:spacing w:before="60" w:after="60"/>
        <w:jc w:val="both"/>
        <w:rPr>
          <w:rFonts w:cstheme="minorHAnsi"/>
          <w:b/>
          <w:color w:val="943634" w:themeColor="accent2" w:themeShade="BF"/>
        </w:rPr>
      </w:pPr>
      <w:r w:rsidRPr="003E60AB">
        <w:rPr>
          <w:rFonts w:cstheme="minorHAnsi"/>
        </w:rPr>
        <w:t>Wykresy poniżej prezentują w kolejności: 1) Rozkład odpowiedzi na pytanie, czy mieszkańcy zgadzają się z twierdzeniem, że w mieście jest ładnie, panuje tu ogólny ład przestrzenny, budynki są zadbane i mają wartościową estetykę; 2) Średn</w:t>
      </w:r>
      <w:r>
        <w:rPr>
          <w:rFonts w:cstheme="minorHAnsi"/>
        </w:rPr>
        <w:t>ia oceny, czy estetyka miasta</w:t>
      </w:r>
      <w:r w:rsidRPr="003E60AB">
        <w:rPr>
          <w:rFonts w:cstheme="minorHAnsi"/>
        </w:rPr>
        <w:t xml:space="preserve"> ma znaczenie w atrakcyjności Pobiedzisk jako miejsca zamieszkania.</w:t>
      </w:r>
    </w:p>
    <w:p w:rsidR="001C52B2" w:rsidRDefault="001C52B2" w:rsidP="001C52B2">
      <w:pPr>
        <w:spacing w:before="60" w:after="60"/>
        <w:rPr>
          <w:rFonts w:cstheme="minorHAnsi"/>
        </w:rPr>
      </w:pPr>
      <w:r w:rsidRPr="003E60AB">
        <w:rPr>
          <w:rFonts w:cstheme="minorHAnsi"/>
          <w:noProof/>
        </w:rPr>
        <w:drawing>
          <wp:inline distT="0" distB="0" distL="0" distR="0">
            <wp:extent cx="4816549" cy="2615609"/>
            <wp:effectExtent l="0" t="0" r="0" b="0"/>
            <wp:docPr id="5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047ED" w:rsidRPr="00271B24" w:rsidRDefault="009047ED" w:rsidP="009047ED">
      <w:pPr>
        <w:pStyle w:val="rdo"/>
      </w:pPr>
      <w:r w:rsidRPr="00271B24">
        <w:t>Źródło: opracowanie własne na podstawie wyników badań ankietowych.</w:t>
      </w:r>
    </w:p>
    <w:p w:rsidR="009047ED" w:rsidRPr="003E60AB" w:rsidRDefault="009047ED" w:rsidP="001C52B2">
      <w:pPr>
        <w:spacing w:before="60" w:after="60"/>
        <w:rPr>
          <w:rFonts w:cstheme="minorHAnsi"/>
        </w:rPr>
      </w:pPr>
    </w:p>
    <w:p w:rsidR="001C52B2" w:rsidRPr="003E60AB" w:rsidRDefault="001C52B2" w:rsidP="001C52B2">
      <w:pPr>
        <w:spacing w:before="60" w:after="60"/>
        <w:rPr>
          <w:rFonts w:cstheme="minorHAnsi"/>
        </w:rPr>
      </w:pPr>
      <w:r w:rsidRPr="003E60AB">
        <w:rPr>
          <w:rFonts w:cstheme="minorHAnsi"/>
          <w:noProof/>
        </w:rPr>
        <w:lastRenderedPageBreak/>
        <w:drawing>
          <wp:inline distT="0" distB="0" distL="0" distR="0">
            <wp:extent cx="4816549" cy="2658140"/>
            <wp:effectExtent l="0" t="0" r="0" b="0"/>
            <wp:docPr id="5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047ED" w:rsidRPr="00271B24" w:rsidRDefault="009047ED" w:rsidP="009047ED">
      <w:pPr>
        <w:pStyle w:val="rdo"/>
      </w:pPr>
      <w:r w:rsidRPr="00271B24">
        <w:t>Źródło: opracowanie własne na podstawie wyników badań ankietowych.</w:t>
      </w:r>
    </w:p>
    <w:p w:rsidR="001C52B2" w:rsidRPr="003E60AB" w:rsidRDefault="001C52B2" w:rsidP="001C52B2">
      <w:pPr>
        <w:spacing w:before="60" w:after="60"/>
        <w:rPr>
          <w:rFonts w:cstheme="minorHAnsi"/>
        </w:rPr>
      </w:pPr>
    </w:p>
    <w:p w:rsidR="001C52B2" w:rsidRPr="003E60AB" w:rsidRDefault="001C52B2" w:rsidP="001C52B2">
      <w:pPr>
        <w:pStyle w:val="Akapitzlist"/>
        <w:numPr>
          <w:ilvl w:val="0"/>
          <w:numId w:val="47"/>
        </w:numPr>
        <w:spacing w:before="60" w:after="60" w:line="276" w:lineRule="auto"/>
        <w:ind w:left="567" w:hanging="425"/>
        <w:jc w:val="both"/>
        <w:rPr>
          <w:rFonts w:asciiTheme="minorHAnsi" w:hAnsiTheme="minorHAnsi" w:cstheme="minorHAnsi"/>
          <w:b/>
          <w:color w:val="943634" w:themeColor="accent2" w:themeShade="BF"/>
          <w:sz w:val="22"/>
          <w:szCs w:val="22"/>
        </w:rPr>
      </w:pPr>
      <w:r w:rsidRPr="003E60AB">
        <w:rPr>
          <w:rFonts w:asciiTheme="minorHAnsi" w:hAnsiTheme="minorHAnsi" w:cstheme="minorHAnsi"/>
          <w:b/>
          <w:color w:val="943634" w:themeColor="accent2" w:themeShade="BF"/>
          <w:sz w:val="22"/>
          <w:szCs w:val="22"/>
        </w:rPr>
        <w:t>Czy zgadza się Pani/Pan ze stwierdzeniem, że na wsiach w gminie Pobiedziska jest ładnie, panuje tu ogólny ład przestrzenny, budynki są zadbane i mają wartościową estetykę?</w:t>
      </w:r>
    </w:p>
    <w:p w:rsidR="001C52B2" w:rsidRDefault="001C52B2" w:rsidP="001C52B2">
      <w:pPr>
        <w:jc w:val="both"/>
      </w:pPr>
      <w:r>
        <w:t>Mieszkańcy gminy twierdzą, że wsie w gminie Pobiedziska są ładne, panuje tam</w:t>
      </w:r>
      <w:r w:rsidRPr="00091823">
        <w:t xml:space="preserve"> ogólny ład przestrzenny, budynki są zadbane i mają wartościową estetykę. Tego zdania jest </w:t>
      </w:r>
      <w:r>
        <w:t>zdecydowana większość – 87</w:t>
      </w:r>
      <w:r w:rsidRPr="00091823">
        <w:t xml:space="preserve">% (ocena ważona) mieszkańców. </w:t>
      </w:r>
      <w:r>
        <w:t>Swoje zadowolenie częściej wyrażają mężczyźni niż kobiety. Najgorszą opinię odnotowano w grupie osób z wyższym wykształceniem oraz osób w wieku 30-39 lat. Estetyka wsi w gminie</w:t>
      </w:r>
      <w:r w:rsidRPr="00F647D6">
        <w:rPr>
          <w:rFonts w:cstheme="minorHAnsi"/>
        </w:rPr>
        <w:t xml:space="preserve"> </w:t>
      </w:r>
      <w:r>
        <w:rPr>
          <w:rFonts w:cstheme="minorHAnsi"/>
        </w:rPr>
        <w:t xml:space="preserve">Pobiedziska </w:t>
      </w:r>
      <w:r w:rsidRPr="003E60AB">
        <w:rPr>
          <w:rFonts w:cstheme="minorHAnsi"/>
        </w:rPr>
        <w:t xml:space="preserve">jest </w:t>
      </w:r>
      <w:r>
        <w:rPr>
          <w:rFonts w:cstheme="minorHAnsi"/>
        </w:rPr>
        <w:t xml:space="preserve">dla mieszkańców </w:t>
      </w:r>
      <w:r w:rsidRPr="003E60AB">
        <w:rPr>
          <w:rFonts w:cstheme="minorHAnsi"/>
        </w:rPr>
        <w:t>ważnym kryterium oceny atrakcyjności gminy</w:t>
      </w:r>
      <w:r>
        <w:rPr>
          <w:rFonts w:cstheme="minorHAnsi"/>
        </w:rPr>
        <w:t>. Ocena rozkłada się podobnie we wszystkich grupach objętych badaniem, przy czym kryterium j</w:t>
      </w:r>
      <w:r>
        <w:t xml:space="preserve">est ważniejsze dla mężczyzn niż kobiet. </w:t>
      </w:r>
    </w:p>
    <w:p w:rsidR="001C52B2" w:rsidRDefault="001C52B2" w:rsidP="001C52B2">
      <w:pPr>
        <w:jc w:val="both"/>
      </w:pPr>
      <w:r>
        <w:t>Wnioski: Estetyka gminy jest uważana przez mieszkańców za jego mocną stronę. Jest to też bardzo ważny czynnik atrakcyjności gminy jako miejsca zamieszkania, a zatem w ramach planowania strategicznego powinno się dążyć do wykorzystania szansy związanej z tą sferą życia gminy i poprawiać stan, który nie jest jednoznacznie przez wszystkich postrzegany jako odpowiedni.</w:t>
      </w:r>
    </w:p>
    <w:p w:rsidR="001C52B2" w:rsidRPr="002E082E" w:rsidRDefault="001C52B2" w:rsidP="001C52B2">
      <w:pPr>
        <w:spacing w:before="60" w:after="60"/>
        <w:rPr>
          <w:rFonts w:cstheme="minorHAnsi"/>
          <w:b/>
          <w:color w:val="943634" w:themeColor="accent2" w:themeShade="BF"/>
        </w:rPr>
      </w:pPr>
      <w:r>
        <w:t>Wykresy poniżej prezentują w kolejności: 1) Rozkład odpowiedzi na pytanie, czy mieszkańcy zgadzają się z twierdzeniem, że</w:t>
      </w:r>
      <w:r w:rsidRPr="007E0248">
        <w:t xml:space="preserve"> </w:t>
      </w:r>
      <w:r>
        <w:t xml:space="preserve">w gminie </w:t>
      </w:r>
      <w:r w:rsidRPr="00091823">
        <w:t>jest ładnie, panuje tu ogólny ład przestrzenny, budynki są zadbane i mają wartościową estetykę</w:t>
      </w:r>
      <w:r>
        <w:t xml:space="preserve">; 2) Średnia oceny, </w:t>
      </w:r>
      <w:r w:rsidRPr="00977624">
        <w:t xml:space="preserve">czy </w:t>
      </w:r>
      <w:r w:rsidRPr="00091823">
        <w:t xml:space="preserve">estetyka </w:t>
      </w:r>
      <w:r>
        <w:t>gminy</w:t>
      </w:r>
      <w:r w:rsidRPr="00091823">
        <w:t xml:space="preserve"> </w:t>
      </w:r>
      <w:r w:rsidRPr="00977624">
        <w:t xml:space="preserve">ma znaczenie w </w:t>
      </w:r>
      <w:r>
        <w:t>atrakcyjności gminy jako miejsca zamieszkania</w:t>
      </w:r>
      <w:r w:rsidRPr="00977624">
        <w:t>.</w:t>
      </w:r>
    </w:p>
    <w:p w:rsidR="001C52B2" w:rsidRDefault="001C52B2" w:rsidP="001C52B2">
      <w:pPr>
        <w:spacing w:before="60" w:after="60"/>
        <w:jc w:val="center"/>
        <w:rPr>
          <w:rFonts w:cstheme="minorHAnsi"/>
        </w:rPr>
      </w:pPr>
      <w:r w:rsidRPr="003E60AB">
        <w:rPr>
          <w:rFonts w:cstheme="minorHAnsi"/>
          <w:noProof/>
        </w:rPr>
        <w:lastRenderedPageBreak/>
        <w:drawing>
          <wp:inline distT="0" distB="0" distL="0" distR="0">
            <wp:extent cx="4710224" cy="2870791"/>
            <wp:effectExtent l="0" t="0" r="0" b="0"/>
            <wp:docPr id="6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047ED" w:rsidRPr="00271B24" w:rsidRDefault="009047ED" w:rsidP="009047ED">
      <w:pPr>
        <w:pStyle w:val="rdo"/>
      </w:pPr>
      <w:r w:rsidRPr="00271B24">
        <w:t>Źródło: opracowanie własne na podstawie wyników badań ankietowych.</w:t>
      </w:r>
    </w:p>
    <w:p w:rsidR="009047ED" w:rsidRPr="003E60AB" w:rsidRDefault="009047ED" w:rsidP="001C52B2">
      <w:pPr>
        <w:spacing w:before="60" w:after="60"/>
        <w:jc w:val="center"/>
        <w:rPr>
          <w:rFonts w:cstheme="minorHAnsi"/>
        </w:rPr>
      </w:pPr>
    </w:p>
    <w:p w:rsidR="001C52B2" w:rsidRDefault="001C52B2" w:rsidP="001C52B2">
      <w:pPr>
        <w:spacing w:before="60" w:after="60"/>
        <w:jc w:val="center"/>
        <w:rPr>
          <w:rFonts w:cstheme="minorHAnsi"/>
        </w:rPr>
      </w:pPr>
      <w:r w:rsidRPr="003E60AB">
        <w:rPr>
          <w:rFonts w:cstheme="minorHAnsi"/>
          <w:noProof/>
        </w:rPr>
        <w:drawing>
          <wp:inline distT="0" distB="0" distL="0" distR="0">
            <wp:extent cx="4890976" cy="2594345"/>
            <wp:effectExtent l="0" t="0" r="0" b="0"/>
            <wp:docPr id="61"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047ED" w:rsidRPr="00271B24" w:rsidRDefault="009047ED" w:rsidP="009047ED">
      <w:pPr>
        <w:pStyle w:val="rdo"/>
      </w:pPr>
      <w:r w:rsidRPr="00271B24">
        <w:t>Źródło: opracowanie własne na podstawie wyników badań ankietowych.</w:t>
      </w:r>
    </w:p>
    <w:p w:rsidR="009047ED" w:rsidRPr="003E60AB" w:rsidRDefault="009047ED" w:rsidP="001C52B2">
      <w:pPr>
        <w:spacing w:before="60" w:after="60"/>
        <w:jc w:val="center"/>
        <w:rPr>
          <w:rFonts w:cstheme="minorHAnsi"/>
        </w:rPr>
      </w:pPr>
    </w:p>
    <w:p w:rsidR="001C52B2" w:rsidRDefault="001C52B2" w:rsidP="001C52B2">
      <w:pPr>
        <w:rPr>
          <w:rFonts w:eastAsia="Times New Roman" w:cstheme="minorHAnsi"/>
          <w:b/>
          <w:color w:val="943634" w:themeColor="accent2" w:themeShade="BF"/>
        </w:rPr>
      </w:pPr>
      <w:r>
        <w:rPr>
          <w:rFonts w:cstheme="minorHAnsi"/>
          <w:b/>
          <w:color w:val="943634" w:themeColor="accent2" w:themeShade="BF"/>
        </w:rPr>
        <w:br w:type="page"/>
      </w:r>
    </w:p>
    <w:p w:rsidR="001C52B2" w:rsidRPr="003E60AB" w:rsidRDefault="001C52B2" w:rsidP="001C52B2">
      <w:pPr>
        <w:pStyle w:val="Akapitzlist"/>
        <w:numPr>
          <w:ilvl w:val="0"/>
          <w:numId w:val="47"/>
        </w:numPr>
        <w:spacing w:before="60" w:after="60" w:line="276" w:lineRule="auto"/>
        <w:jc w:val="both"/>
        <w:rPr>
          <w:rFonts w:asciiTheme="minorHAnsi" w:hAnsiTheme="minorHAnsi" w:cstheme="minorHAnsi"/>
          <w:b/>
          <w:color w:val="943634" w:themeColor="accent2" w:themeShade="BF"/>
          <w:sz w:val="22"/>
          <w:szCs w:val="22"/>
        </w:rPr>
      </w:pPr>
      <w:r w:rsidRPr="003E60AB">
        <w:rPr>
          <w:rFonts w:asciiTheme="minorHAnsi" w:hAnsiTheme="minorHAnsi" w:cstheme="minorHAnsi"/>
          <w:b/>
          <w:color w:val="943634" w:themeColor="accent2" w:themeShade="BF"/>
          <w:sz w:val="22"/>
          <w:szCs w:val="22"/>
        </w:rPr>
        <w:lastRenderedPageBreak/>
        <w:t>Czy zgadza się Pani/Pan ze stwierdzeniem, że w gminie Pobiedziska oferta kulturalna jest dla Pani/ Pana interesująca?</w:t>
      </w:r>
    </w:p>
    <w:p w:rsidR="001C52B2" w:rsidRPr="003E60AB" w:rsidRDefault="001C52B2" w:rsidP="001C52B2">
      <w:pPr>
        <w:spacing w:before="60" w:after="60"/>
        <w:jc w:val="both"/>
        <w:rPr>
          <w:rFonts w:cstheme="minorHAnsi"/>
        </w:rPr>
      </w:pPr>
      <w:r w:rsidRPr="003E60AB">
        <w:rPr>
          <w:rFonts w:cstheme="minorHAnsi"/>
        </w:rPr>
        <w:t>Mieszkańcy twierdzą, że oferta kulturalna gminy raczej nie jest dla nich interesująca. Większość ważoną stanowi 52%. Mniej o tym przekonani są mężczyźni niż kobiety. Najmniej zadowolone z oferty kulturalnej gminy są osoby młode, natomiast najbardziej – osoby starsze. Zaledwie 32% osób w wieku 18-29 la</w:t>
      </w:r>
      <w:r>
        <w:rPr>
          <w:rFonts w:cstheme="minorHAnsi"/>
        </w:rPr>
        <w:t>t uważa ofertę kulturalną gminy</w:t>
      </w:r>
      <w:r w:rsidRPr="003E60AB">
        <w:rPr>
          <w:rFonts w:cstheme="minorHAnsi"/>
        </w:rPr>
        <w:t xml:space="preserve"> za interesującą. Zdecydowana większość ocenia, że oferta kulturalna jest stosunkowo mało ważnym kryterium oceny atrakcyjności gminy. Kryterium atrakcyjności oferty kulturalnej gminy uzyskało w badaniu najniższą wagę spośród wszystkich kryteriów. Warto podkreślić, że oferta jest tak samo ważna dla kobiet i mężczyzn, oraz dla osób z wyższym wykształceniem i średnim. Waga oferty kulturaln</w:t>
      </w:r>
      <w:r>
        <w:rPr>
          <w:rFonts w:cstheme="minorHAnsi"/>
        </w:rPr>
        <w:t>ej w ocenie atrakcyjności gminy</w:t>
      </w:r>
      <w:r w:rsidRPr="003E60AB">
        <w:rPr>
          <w:rFonts w:cstheme="minorHAnsi"/>
        </w:rPr>
        <w:t xml:space="preserve"> jako miejsca zamieszkania jest najniższa wśród osób z wykształceniem zawodowym i poniżej oraz osób starszych.</w:t>
      </w:r>
    </w:p>
    <w:p w:rsidR="001C52B2" w:rsidRPr="003E60AB" w:rsidRDefault="001C52B2" w:rsidP="001C52B2">
      <w:pPr>
        <w:spacing w:before="60" w:after="60"/>
        <w:jc w:val="both"/>
        <w:rPr>
          <w:rFonts w:cstheme="minorHAnsi"/>
        </w:rPr>
      </w:pPr>
      <w:r w:rsidRPr="008C433C">
        <w:rPr>
          <w:rFonts w:cstheme="minorHAnsi"/>
        </w:rPr>
        <w:t>Wnioski:</w:t>
      </w:r>
      <w:r>
        <w:rPr>
          <w:rFonts w:cstheme="minorHAnsi"/>
        </w:rPr>
        <w:t xml:space="preserve"> Oferta kulturalna gminy</w:t>
      </w:r>
      <w:r w:rsidRPr="003E60AB">
        <w:rPr>
          <w:rFonts w:cstheme="minorHAnsi"/>
        </w:rPr>
        <w:t xml:space="preserve"> nie jest jednoznacznie uważana ani za mocną ani za słabą stronę. Większość mieszkańców twierdzi, że gmina nie ma interesującej oferty kulturalnej i jednocześnie nie jest to ważne kryterium oceny atrakcyjności gminy. W strategii powinno się uwzględnić ten fakt, wzmacniając działania na rzecz podnoszenia jakości oferty kulturalnej kierowanej szczególnie do osób, które najgorzej ją oceniają, a jednocześnie dla których oferta kulturalna jest istotna, czyli do osób z wyższym, średnim i policealnym wykształceniem oraz do grupy wiekowej 18-29 lat. </w:t>
      </w:r>
    </w:p>
    <w:p w:rsidR="001C52B2" w:rsidRPr="003E60AB" w:rsidRDefault="001C52B2" w:rsidP="001C52B2">
      <w:pPr>
        <w:spacing w:before="60" w:after="60"/>
        <w:jc w:val="both"/>
        <w:rPr>
          <w:rFonts w:cstheme="minorHAnsi"/>
        </w:rPr>
      </w:pPr>
      <w:r w:rsidRPr="003E60AB">
        <w:rPr>
          <w:rFonts w:cstheme="minorHAnsi"/>
        </w:rPr>
        <w:t>Wykresy poniżej prezentują w kolejności: 1) Rozkład odpowiedzi na pytanie, czy mieszkańcy zgadzają się z twierdzeniem, że w gminie oferta kulturalna jest interesująca; 2) Średnia oceny, czy oferta kulturalna ma znaczenie w atrakcyjności gminy jako miejsca zamieszkania.</w:t>
      </w:r>
    </w:p>
    <w:p w:rsidR="001C52B2" w:rsidRPr="003E60AB" w:rsidRDefault="001C52B2" w:rsidP="001C52B2">
      <w:pPr>
        <w:spacing w:before="60" w:after="60"/>
        <w:rPr>
          <w:rFonts w:cstheme="minorHAnsi"/>
        </w:rPr>
      </w:pPr>
      <w:r w:rsidRPr="003E60AB">
        <w:rPr>
          <w:rFonts w:cstheme="minorHAnsi"/>
          <w:noProof/>
        </w:rPr>
        <w:drawing>
          <wp:inline distT="0" distB="0" distL="0" distR="0">
            <wp:extent cx="4774019" cy="2785730"/>
            <wp:effectExtent l="0" t="0" r="0" b="0"/>
            <wp:docPr id="62"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047ED" w:rsidRPr="00271B24" w:rsidRDefault="009047ED" w:rsidP="009047ED">
      <w:pPr>
        <w:pStyle w:val="rdo"/>
      </w:pPr>
      <w:r w:rsidRPr="00271B24">
        <w:t>Źródło: opracowanie własne na podstawie wyników badań ankietowych.</w:t>
      </w:r>
    </w:p>
    <w:p w:rsidR="001C52B2" w:rsidRPr="003E60AB" w:rsidRDefault="001C52B2" w:rsidP="001C52B2">
      <w:pPr>
        <w:pStyle w:val="Akapitzlist"/>
        <w:spacing w:before="60" w:after="60" w:line="276" w:lineRule="auto"/>
        <w:ind w:left="720"/>
        <w:jc w:val="both"/>
        <w:rPr>
          <w:rFonts w:asciiTheme="minorHAnsi" w:hAnsiTheme="minorHAnsi" w:cstheme="minorHAnsi"/>
          <w:b/>
          <w:color w:val="943634" w:themeColor="accent2" w:themeShade="BF"/>
          <w:sz w:val="22"/>
          <w:szCs w:val="22"/>
        </w:rPr>
      </w:pPr>
    </w:p>
    <w:p w:rsidR="001C52B2" w:rsidRDefault="001C52B2" w:rsidP="001C52B2">
      <w:pPr>
        <w:spacing w:before="60" w:after="60"/>
        <w:rPr>
          <w:rFonts w:cstheme="minorHAnsi"/>
        </w:rPr>
      </w:pPr>
      <w:r w:rsidRPr="003E60AB">
        <w:rPr>
          <w:rFonts w:cstheme="minorHAnsi"/>
          <w:noProof/>
        </w:rPr>
        <w:lastRenderedPageBreak/>
        <w:drawing>
          <wp:inline distT="0" distB="0" distL="0" distR="0">
            <wp:extent cx="4805917" cy="2615610"/>
            <wp:effectExtent l="0" t="0" r="0" b="0"/>
            <wp:docPr id="63"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047ED" w:rsidRPr="00271B24" w:rsidRDefault="009047ED" w:rsidP="009047ED">
      <w:pPr>
        <w:pStyle w:val="rdo"/>
      </w:pPr>
      <w:r w:rsidRPr="00271B24">
        <w:t>Źródło: opracowanie własne na podstawie wyników badań ankietowych.</w:t>
      </w:r>
    </w:p>
    <w:p w:rsidR="001C52B2" w:rsidRPr="003E60AB" w:rsidRDefault="001C52B2" w:rsidP="001C52B2">
      <w:pPr>
        <w:spacing w:before="60" w:after="60"/>
        <w:rPr>
          <w:rFonts w:cstheme="minorHAnsi"/>
        </w:rPr>
      </w:pPr>
    </w:p>
    <w:p w:rsidR="001C52B2" w:rsidRPr="003E60AB" w:rsidRDefault="001C52B2" w:rsidP="001C52B2">
      <w:pPr>
        <w:pStyle w:val="Akapitzlist"/>
        <w:numPr>
          <w:ilvl w:val="0"/>
          <w:numId w:val="47"/>
        </w:numPr>
        <w:spacing w:before="60" w:after="60" w:line="276" w:lineRule="auto"/>
        <w:ind w:left="567" w:hanging="425"/>
        <w:jc w:val="both"/>
        <w:rPr>
          <w:rFonts w:asciiTheme="minorHAnsi" w:hAnsiTheme="minorHAnsi" w:cstheme="minorHAnsi"/>
          <w:b/>
          <w:color w:val="943634" w:themeColor="accent2" w:themeShade="BF"/>
          <w:sz w:val="22"/>
          <w:szCs w:val="22"/>
        </w:rPr>
      </w:pPr>
      <w:r w:rsidRPr="003E60AB">
        <w:rPr>
          <w:rFonts w:asciiTheme="minorHAnsi" w:hAnsiTheme="minorHAnsi" w:cstheme="minorHAnsi"/>
          <w:b/>
          <w:color w:val="943634" w:themeColor="accent2" w:themeShade="BF"/>
          <w:sz w:val="22"/>
          <w:szCs w:val="22"/>
        </w:rPr>
        <w:t>Czy zgadza się Pani/Pan ze stwierdzeniem, że w gminie Pobiedziska oferta uprawiania sportu i rekreacji jest dla Pani/Pana interesująca?</w:t>
      </w:r>
    </w:p>
    <w:p w:rsidR="001C52B2" w:rsidRPr="003E60AB" w:rsidRDefault="001C52B2" w:rsidP="001C52B2">
      <w:pPr>
        <w:spacing w:before="60" w:after="60"/>
        <w:jc w:val="both"/>
        <w:rPr>
          <w:rFonts w:cstheme="minorHAnsi"/>
        </w:rPr>
      </w:pPr>
      <w:r>
        <w:rPr>
          <w:rFonts w:cstheme="minorHAnsi"/>
        </w:rPr>
        <w:t>Mieszkańcy gminy</w:t>
      </w:r>
      <w:r w:rsidRPr="003E60AB">
        <w:rPr>
          <w:rFonts w:cstheme="minorHAnsi"/>
        </w:rPr>
        <w:t xml:space="preserve"> twierdzą, że oferta uprawi</w:t>
      </w:r>
      <w:r>
        <w:rPr>
          <w:rFonts w:cstheme="minorHAnsi"/>
        </w:rPr>
        <w:t>ania sportu i rekreacji w gmini</w:t>
      </w:r>
      <w:r w:rsidRPr="003E60AB">
        <w:rPr>
          <w:rFonts w:cstheme="minorHAnsi"/>
        </w:rPr>
        <w:t xml:space="preserve">e jest dla nich interesująca. Twierdzi tak większość 63% (ocena ważona). Kobiety są tak samo o tym przekonane jak mężczyźni. Odmiennego zdania jest grupa osób młodych, która postrzega ofertę sportu i rekreacji za nieinteresującą. Również osoby z wyższym wykształceniem nie są o tym do końca przekonane. Najbardziej zadowoloną grupą są osoby w wieku 30-39 lat oraz osoby starsze. Większość ocenia, że oferta uprawiana sportu i rekreacji jest mniej ważna niż inne kryteria oceny atrakcyjności </w:t>
      </w:r>
      <w:r>
        <w:rPr>
          <w:rFonts w:cstheme="minorHAnsi"/>
        </w:rPr>
        <w:t>gminy</w:t>
      </w:r>
      <w:r w:rsidRPr="003E60AB">
        <w:rPr>
          <w:rFonts w:cstheme="minorHAnsi"/>
        </w:rPr>
        <w:t xml:space="preserve">. Najważniejsza jest osób młodych oraz osób z wyższym wykształceniem. Waga oferty uprawiania sportu i rekreacji w ocenie atrakcyjności </w:t>
      </w:r>
      <w:r>
        <w:rPr>
          <w:rFonts w:cstheme="minorHAnsi"/>
        </w:rPr>
        <w:t>gminy</w:t>
      </w:r>
      <w:r w:rsidRPr="003E60AB">
        <w:rPr>
          <w:rFonts w:cstheme="minorHAnsi"/>
        </w:rPr>
        <w:t xml:space="preserve"> jako miejsca zamieszkania spada wraz z wykształceniem. Ważniejsza jest dla mężczyzn niż dla kobiet.</w:t>
      </w:r>
    </w:p>
    <w:p w:rsidR="001C52B2" w:rsidRPr="003E60AB" w:rsidRDefault="001C52B2" w:rsidP="001C52B2">
      <w:pPr>
        <w:spacing w:before="60" w:after="60"/>
        <w:jc w:val="both"/>
        <w:rPr>
          <w:rFonts w:cstheme="minorHAnsi"/>
        </w:rPr>
      </w:pPr>
      <w:r w:rsidRPr="008C433C">
        <w:rPr>
          <w:rFonts w:cstheme="minorHAnsi"/>
        </w:rPr>
        <w:t>Wnioski:</w:t>
      </w:r>
      <w:r w:rsidRPr="003E60AB">
        <w:rPr>
          <w:rFonts w:cstheme="minorHAnsi"/>
        </w:rPr>
        <w:t xml:space="preserve"> Oferta uprawiania sportu i rekreacji gminy jest uważana raczej za </w:t>
      </w:r>
      <w:r>
        <w:rPr>
          <w:rFonts w:cstheme="minorHAnsi"/>
        </w:rPr>
        <w:t>jej mocną stronę</w:t>
      </w:r>
      <w:r w:rsidRPr="003E60AB">
        <w:rPr>
          <w:rFonts w:cstheme="minorHAnsi"/>
        </w:rPr>
        <w:t>, choć nie jest dla mieszkańców bardzo ważnym kryterium oceny atrakcyjności miejsca zamieszkania. Priorytetowo należy traktować działania zmierzające do poprawy oferty skierowanej do osób młodych oraz osób z wyższym wykształceniem.</w:t>
      </w:r>
    </w:p>
    <w:p w:rsidR="001C52B2" w:rsidRPr="003E60AB" w:rsidRDefault="001C52B2" w:rsidP="001C52B2">
      <w:pPr>
        <w:spacing w:before="60" w:after="60"/>
        <w:jc w:val="both"/>
        <w:rPr>
          <w:rFonts w:cstheme="minorHAnsi"/>
        </w:rPr>
      </w:pPr>
      <w:r w:rsidRPr="003E60AB">
        <w:rPr>
          <w:rFonts w:cstheme="minorHAnsi"/>
        </w:rPr>
        <w:t>Wykresy poniżej prezentują w kolejności: 1) Rozkład odpowiedzi na pytanie, czy mieszkańcy zgadzają się z twierdzeniem, że w gminie oferta uprawiania sportu i rekreacji jest interesująca; 2) Średnia oceny, czy oferta uprawiania sportu i rekreacji ma znaczenie w atrakcyjności gminy Pobiedziska jako miejsca zamieszkania.</w:t>
      </w:r>
    </w:p>
    <w:p w:rsidR="001C52B2" w:rsidRPr="003E60AB" w:rsidRDefault="001C52B2" w:rsidP="001C52B2">
      <w:pPr>
        <w:pStyle w:val="Akapitzlist"/>
        <w:spacing w:before="60" w:after="60" w:line="276" w:lineRule="auto"/>
        <w:ind w:left="720"/>
        <w:rPr>
          <w:rFonts w:asciiTheme="minorHAnsi" w:hAnsiTheme="minorHAnsi" w:cstheme="minorHAnsi"/>
          <w:sz w:val="22"/>
          <w:szCs w:val="22"/>
        </w:rPr>
      </w:pPr>
    </w:p>
    <w:p w:rsidR="001C52B2" w:rsidRDefault="001C52B2" w:rsidP="001C52B2">
      <w:pPr>
        <w:spacing w:before="60" w:after="60"/>
        <w:jc w:val="center"/>
        <w:rPr>
          <w:rFonts w:cstheme="minorHAnsi"/>
        </w:rPr>
      </w:pPr>
      <w:r w:rsidRPr="003E60AB">
        <w:rPr>
          <w:rFonts w:cstheme="minorHAnsi"/>
          <w:noProof/>
        </w:rPr>
        <w:lastRenderedPageBreak/>
        <w:drawing>
          <wp:inline distT="0" distB="0" distL="0" distR="0">
            <wp:extent cx="4805917" cy="2594345"/>
            <wp:effectExtent l="0" t="0" r="0" b="0"/>
            <wp:docPr id="64"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047ED" w:rsidRPr="00271B24" w:rsidRDefault="009047ED" w:rsidP="009047ED">
      <w:pPr>
        <w:pStyle w:val="rdo"/>
      </w:pPr>
      <w:r w:rsidRPr="00271B24">
        <w:t>Źródło: opracowanie własne na podstawie wyników badań ankietowych.</w:t>
      </w:r>
    </w:p>
    <w:p w:rsidR="009047ED" w:rsidRPr="003E60AB" w:rsidRDefault="009047ED" w:rsidP="001C52B2">
      <w:pPr>
        <w:spacing w:before="60" w:after="60"/>
        <w:jc w:val="center"/>
        <w:rPr>
          <w:rFonts w:cstheme="minorHAnsi"/>
        </w:rPr>
      </w:pPr>
    </w:p>
    <w:p w:rsidR="001C52B2" w:rsidRDefault="001C52B2" w:rsidP="001C52B2">
      <w:pPr>
        <w:spacing w:before="60" w:after="60"/>
        <w:jc w:val="center"/>
        <w:rPr>
          <w:rFonts w:cstheme="minorHAnsi"/>
        </w:rPr>
      </w:pPr>
      <w:r w:rsidRPr="003E60AB">
        <w:rPr>
          <w:rFonts w:cstheme="minorHAnsi"/>
          <w:noProof/>
        </w:rPr>
        <w:drawing>
          <wp:inline distT="0" distB="0" distL="0" distR="0">
            <wp:extent cx="4805917" cy="2775098"/>
            <wp:effectExtent l="0" t="0" r="0" b="0"/>
            <wp:docPr id="65"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047ED" w:rsidRPr="00271B24" w:rsidRDefault="009047ED" w:rsidP="009047ED">
      <w:pPr>
        <w:pStyle w:val="rdo"/>
      </w:pPr>
      <w:r w:rsidRPr="00271B24">
        <w:t>Źródło: opracowanie własne na podstawie wyników badań ankietowych.</w:t>
      </w:r>
    </w:p>
    <w:p w:rsidR="009047ED" w:rsidRPr="003E60AB" w:rsidRDefault="009047ED" w:rsidP="001C52B2">
      <w:pPr>
        <w:spacing w:before="60" w:after="60"/>
        <w:jc w:val="center"/>
        <w:rPr>
          <w:rFonts w:cstheme="minorHAnsi"/>
        </w:rPr>
      </w:pPr>
    </w:p>
    <w:p w:rsidR="001C52B2" w:rsidRDefault="001C52B2" w:rsidP="001C52B2">
      <w:pPr>
        <w:rPr>
          <w:rFonts w:eastAsia="Times New Roman" w:cstheme="minorHAnsi"/>
          <w:b/>
          <w:color w:val="943634" w:themeColor="accent2" w:themeShade="BF"/>
        </w:rPr>
      </w:pPr>
      <w:r>
        <w:rPr>
          <w:rFonts w:cstheme="minorHAnsi"/>
          <w:b/>
          <w:color w:val="943634" w:themeColor="accent2" w:themeShade="BF"/>
        </w:rPr>
        <w:br w:type="page"/>
      </w:r>
    </w:p>
    <w:p w:rsidR="001C52B2" w:rsidRPr="003E60AB" w:rsidRDefault="001C52B2" w:rsidP="001C52B2">
      <w:pPr>
        <w:pStyle w:val="Akapitzlist"/>
        <w:numPr>
          <w:ilvl w:val="0"/>
          <w:numId w:val="47"/>
        </w:numPr>
        <w:spacing w:before="60" w:after="60" w:line="276" w:lineRule="auto"/>
        <w:ind w:left="567" w:hanging="425"/>
        <w:rPr>
          <w:rFonts w:asciiTheme="minorHAnsi" w:hAnsiTheme="minorHAnsi" w:cstheme="minorHAnsi"/>
          <w:b/>
          <w:color w:val="943634" w:themeColor="accent2" w:themeShade="BF"/>
          <w:sz w:val="22"/>
          <w:szCs w:val="22"/>
        </w:rPr>
      </w:pPr>
      <w:r w:rsidRPr="003E60AB">
        <w:rPr>
          <w:rFonts w:asciiTheme="minorHAnsi" w:hAnsiTheme="minorHAnsi" w:cstheme="minorHAnsi"/>
          <w:b/>
          <w:color w:val="943634" w:themeColor="accent2" w:themeShade="BF"/>
          <w:sz w:val="22"/>
          <w:szCs w:val="22"/>
        </w:rPr>
        <w:lastRenderedPageBreak/>
        <w:t>Czy zgadza się Pani/Pan ze stwierdzeniem, że w gminie Pobiedziska jest wiele miejsc, w których może Pani/Pan wypocząć?</w:t>
      </w:r>
    </w:p>
    <w:p w:rsidR="001C52B2" w:rsidRPr="003E60AB" w:rsidRDefault="001C52B2" w:rsidP="001C52B2">
      <w:pPr>
        <w:spacing w:before="60" w:after="60"/>
        <w:jc w:val="both"/>
        <w:rPr>
          <w:rFonts w:cstheme="minorHAnsi"/>
        </w:rPr>
      </w:pPr>
      <w:r w:rsidRPr="003E60AB">
        <w:rPr>
          <w:rFonts w:cstheme="minorHAnsi"/>
        </w:rPr>
        <w:t xml:space="preserve">Mieszkańcy gminy twierdzą, że w gminie Pobiedziska jest wiele miejsc, w których mogą wypocząć. Większość ważoną stanowi aż 86%. Żadna grupa respondentów nie jest odmiennego zdania niż większość, choć osoby z wyższym wykształceniem o wiele częściej twierdzą, że jednak w gminie nie ma wielu miejsc do wypoczynku. Osoby starsze są najbardziej zadowoloną grupą wiekową z miejsc do wypoczynku. Większość ocenia, że miejsca do wypoczynku są ważnym kryterium oceny atrakcyjności </w:t>
      </w:r>
      <w:r>
        <w:rPr>
          <w:rFonts w:cstheme="minorHAnsi"/>
        </w:rPr>
        <w:t>gminy</w:t>
      </w:r>
      <w:r w:rsidRPr="003E60AB">
        <w:rPr>
          <w:rFonts w:cstheme="minorHAnsi"/>
        </w:rPr>
        <w:t xml:space="preserve">. Waga tego kryterium w ocenie atrakcyjności </w:t>
      </w:r>
      <w:r>
        <w:rPr>
          <w:rFonts w:cstheme="minorHAnsi"/>
        </w:rPr>
        <w:t>gminy</w:t>
      </w:r>
      <w:r w:rsidRPr="003E60AB">
        <w:rPr>
          <w:rFonts w:cstheme="minorHAnsi"/>
        </w:rPr>
        <w:t xml:space="preserve"> jako miejsca zamieszkania jest podobnie oceniana przez wszystkie grupy, choć można zauważyć, że najniższa jest wśród osób z wykształceniem zasadniczym zawodowym i poniżej oraz osób w grupie wiekowej 30-39 lat. Płeć respondentów nie wpływa na opinię.</w:t>
      </w:r>
    </w:p>
    <w:p w:rsidR="001C52B2" w:rsidRPr="003E60AB" w:rsidRDefault="001C52B2" w:rsidP="001C52B2">
      <w:pPr>
        <w:spacing w:before="60" w:after="60"/>
        <w:jc w:val="both"/>
        <w:rPr>
          <w:rFonts w:cstheme="minorHAnsi"/>
        </w:rPr>
      </w:pPr>
      <w:r w:rsidRPr="008C433C">
        <w:rPr>
          <w:rFonts w:cstheme="minorHAnsi"/>
        </w:rPr>
        <w:t>Wnioski:</w:t>
      </w:r>
      <w:r w:rsidRPr="003E60AB">
        <w:rPr>
          <w:rFonts w:cstheme="minorHAnsi"/>
        </w:rPr>
        <w:t xml:space="preserve"> Oferta miejs</w:t>
      </w:r>
      <w:r>
        <w:rPr>
          <w:rFonts w:cstheme="minorHAnsi"/>
        </w:rPr>
        <w:t>c do wypoczynku w gminie</w:t>
      </w:r>
      <w:r w:rsidRPr="003E60AB">
        <w:rPr>
          <w:rFonts w:cstheme="minorHAnsi"/>
        </w:rPr>
        <w:t xml:space="preserve"> jest uważana za mocną stronę gminy i należy ją wykorzystać dla rozwoju. Choć obecnie jest oceniana wysoko, co świadczy o zaspokojeniu popytu, to równocześnie jest bardzo ważna dla mieszkańców.</w:t>
      </w:r>
    </w:p>
    <w:p w:rsidR="001C52B2" w:rsidRPr="003E60AB" w:rsidRDefault="001C52B2" w:rsidP="001C52B2">
      <w:pPr>
        <w:spacing w:before="60" w:after="60"/>
        <w:jc w:val="both"/>
        <w:rPr>
          <w:rFonts w:cstheme="minorHAnsi"/>
        </w:rPr>
      </w:pPr>
      <w:r w:rsidRPr="003E60AB">
        <w:rPr>
          <w:rFonts w:cstheme="minorHAnsi"/>
        </w:rPr>
        <w:t>Wykresy poniżej prezentują w kolejności: 1) Rozkład odpowiedzi na pytanie, czy mieszkańcy zgadzają się z twierdzeniem, że w gminie jest dużo miejsc do wypoczynku; 2) Średnia oceny, czy to, że w gminie jest dużo miejsc do wypoczynku, ma znaczenie w atrakcyjności gminy jako miejsca zamieszkania.</w:t>
      </w:r>
    </w:p>
    <w:p w:rsidR="001C52B2" w:rsidRDefault="001C52B2" w:rsidP="001C52B2">
      <w:pPr>
        <w:spacing w:before="60" w:after="60"/>
        <w:jc w:val="center"/>
        <w:rPr>
          <w:rFonts w:cstheme="minorHAnsi"/>
        </w:rPr>
      </w:pPr>
      <w:r w:rsidRPr="003E60AB">
        <w:rPr>
          <w:rFonts w:cstheme="minorHAnsi"/>
          <w:noProof/>
        </w:rPr>
        <w:drawing>
          <wp:inline distT="0" distB="0" distL="0" distR="0">
            <wp:extent cx="4944139" cy="2785730"/>
            <wp:effectExtent l="0" t="0" r="0" b="0"/>
            <wp:docPr id="66"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12048" w:rsidRPr="00271B24" w:rsidRDefault="00712048" w:rsidP="00712048">
      <w:pPr>
        <w:pStyle w:val="rdo"/>
      </w:pPr>
      <w:r w:rsidRPr="00271B24">
        <w:t>Źródło: opracowanie własne na podstawie wyników badań ankietowych.</w:t>
      </w:r>
    </w:p>
    <w:p w:rsidR="00712048" w:rsidRPr="003E60AB" w:rsidRDefault="00712048" w:rsidP="001C52B2">
      <w:pPr>
        <w:spacing w:before="60" w:after="60"/>
        <w:jc w:val="center"/>
        <w:rPr>
          <w:rFonts w:cstheme="minorHAnsi"/>
        </w:rPr>
      </w:pPr>
    </w:p>
    <w:p w:rsidR="001C52B2" w:rsidRDefault="001C52B2" w:rsidP="001C52B2">
      <w:pPr>
        <w:spacing w:before="60" w:after="60"/>
        <w:jc w:val="center"/>
        <w:rPr>
          <w:rFonts w:cstheme="minorHAnsi"/>
        </w:rPr>
      </w:pPr>
      <w:r w:rsidRPr="003E60AB">
        <w:rPr>
          <w:rFonts w:cstheme="minorHAnsi"/>
          <w:noProof/>
        </w:rPr>
        <w:lastRenderedPageBreak/>
        <w:drawing>
          <wp:inline distT="0" distB="0" distL="0" distR="0">
            <wp:extent cx="4805917" cy="2551814"/>
            <wp:effectExtent l="0" t="0" r="0" b="0"/>
            <wp:docPr id="67"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21619" w:rsidRPr="00271B24" w:rsidRDefault="00721619" w:rsidP="00721619">
      <w:pPr>
        <w:pStyle w:val="rdo"/>
      </w:pPr>
      <w:r w:rsidRPr="00271B24">
        <w:t>Źródło: opracowanie własne na podstawie wyników badań ankietowych.</w:t>
      </w:r>
    </w:p>
    <w:p w:rsidR="001C52B2" w:rsidRPr="003E60AB" w:rsidRDefault="001C52B2" w:rsidP="001C52B2">
      <w:pPr>
        <w:spacing w:before="60" w:after="60"/>
        <w:jc w:val="center"/>
        <w:rPr>
          <w:rFonts w:cstheme="minorHAnsi"/>
        </w:rPr>
      </w:pPr>
    </w:p>
    <w:p w:rsidR="001C52B2" w:rsidRPr="003E60AB" w:rsidRDefault="001C52B2" w:rsidP="001C52B2">
      <w:pPr>
        <w:pStyle w:val="Akapitzlist"/>
        <w:numPr>
          <w:ilvl w:val="0"/>
          <w:numId w:val="47"/>
        </w:numPr>
        <w:spacing w:before="60" w:after="60" w:line="276" w:lineRule="auto"/>
        <w:ind w:left="567" w:hanging="425"/>
        <w:jc w:val="both"/>
        <w:rPr>
          <w:rFonts w:asciiTheme="minorHAnsi" w:hAnsiTheme="minorHAnsi" w:cstheme="minorHAnsi"/>
          <w:b/>
          <w:color w:val="943634" w:themeColor="accent2" w:themeShade="BF"/>
          <w:sz w:val="22"/>
          <w:szCs w:val="22"/>
        </w:rPr>
      </w:pPr>
      <w:r w:rsidRPr="003E60AB">
        <w:rPr>
          <w:rFonts w:asciiTheme="minorHAnsi" w:hAnsiTheme="minorHAnsi" w:cstheme="minorHAnsi"/>
          <w:b/>
          <w:color w:val="943634" w:themeColor="accent2" w:themeShade="BF"/>
          <w:sz w:val="22"/>
          <w:szCs w:val="22"/>
        </w:rPr>
        <w:t>Czy zgadza się Pani/Pan ze stwierdzeniem, że w gminie Pobiedziska ulice są w dobrym stanie technicznym?</w:t>
      </w:r>
    </w:p>
    <w:p w:rsidR="001C52B2" w:rsidRPr="003E60AB" w:rsidRDefault="001C52B2" w:rsidP="001C52B2">
      <w:pPr>
        <w:spacing w:before="60" w:after="60"/>
        <w:jc w:val="both"/>
        <w:rPr>
          <w:rFonts w:cstheme="minorHAnsi"/>
        </w:rPr>
      </w:pPr>
      <w:r w:rsidRPr="003E60AB">
        <w:rPr>
          <w:rFonts w:cstheme="minorHAnsi"/>
        </w:rPr>
        <w:t>Mieszkańcy twierdzą, że ulice są w złym stanie technicznym. Tego zdania jest 80% (ocena ważona) mieszkańców. Podobnie twierdzą kobiety, jak i mężczyźni. Najbardziej niezadowolone ze stanu ulic są osoby z wyższym wykształceniem. Wśród grup wiekowych jedynie osoby młode częściej wypowiadały się pozytywnie na temat stanu ulic w gminie. Waga tego kryterium w ocenie atrakcyjności gminy jako miejsca zamieszkania jest znacznie poniżej średniej dla wszystkich kryteriów. Wśród badanych grup respondentów stan ulic w gminie jest najważniejszy dla osób z wykształceniem wyższym, średnim i policealnym oraz dla osób młodych. Kryterium to jest zdecydowanie ważniejsze dla mężczyzn.</w:t>
      </w:r>
    </w:p>
    <w:p w:rsidR="001C52B2" w:rsidRPr="003E60AB" w:rsidRDefault="001C52B2" w:rsidP="001C52B2">
      <w:pPr>
        <w:spacing w:before="60" w:after="60"/>
        <w:jc w:val="both"/>
        <w:rPr>
          <w:rFonts w:cstheme="minorHAnsi"/>
        </w:rPr>
      </w:pPr>
      <w:r w:rsidRPr="003E60AB">
        <w:rPr>
          <w:rFonts w:cstheme="minorHAnsi"/>
        </w:rPr>
        <w:t>Wnioski: Stan techniczny ulic gminy to w ocenie jego mieszkańców zdecydowanie słaba strona. Jest to również mało ważny czynnik atrakcyjności gminy jako miejsca zamieszkania. W ramach strategii należy przewidzieć poprawę stanu technicznego ulic, jednak działania te nie powinny być traktowane z wysokim priorytetem.</w:t>
      </w:r>
    </w:p>
    <w:p w:rsidR="001C52B2" w:rsidRPr="00291CA0" w:rsidRDefault="001C52B2" w:rsidP="00291CA0">
      <w:pPr>
        <w:spacing w:before="60" w:after="60"/>
        <w:jc w:val="both"/>
        <w:rPr>
          <w:rFonts w:cstheme="minorHAnsi"/>
        </w:rPr>
      </w:pPr>
      <w:r w:rsidRPr="003E60AB">
        <w:rPr>
          <w:rFonts w:cstheme="minorHAnsi"/>
        </w:rPr>
        <w:t>Wykresy poniżej prezentują w kolejności: 1) Rozkład odpowiedzi na pytanie, czy mieszkańcy zgadzają się z twierdzeniem, że w gminie ulice są w dobrym stanie technicznym; 2) Średnia oceny, czy stan techniczny ulic ma znaczenie w atrakcyjności gminy jako miejsca zamieszkania.</w:t>
      </w:r>
    </w:p>
    <w:p w:rsidR="001C52B2" w:rsidRDefault="001C52B2" w:rsidP="001C52B2">
      <w:pPr>
        <w:spacing w:before="60" w:after="60"/>
        <w:jc w:val="center"/>
        <w:rPr>
          <w:rFonts w:cstheme="minorHAnsi"/>
          <w:b/>
          <w:color w:val="943634" w:themeColor="accent2" w:themeShade="BF"/>
        </w:rPr>
      </w:pPr>
      <w:r w:rsidRPr="003E60AB">
        <w:rPr>
          <w:rFonts w:cstheme="minorHAnsi"/>
          <w:b/>
          <w:noProof/>
          <w:color w:val="943634" w:themeColor="accent2" w:themeShade="BF"/>
        </w:rPr>
        <w:lastRenderedPageBreak/>
        <w:drawing>
          <wp:inline distT="0" distB="0" distL="0" distR="0">
            <wp:extent cx="4848447" cy="2647507"/>
            <wp:effectExtent l="0" t="0" r="0" b="0"/>
            <wp:docPr id="68"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21619" w:rsidRPr="00271B24" w:rsidRDefault="00721619" w:rsidP="00721619">
      <w:pPr>
        <w:pStyle w:val="rdo"/>
      </w:pPr>
      <w:r w:rsidRPr="00271B24">
        <w:t>Źródło: opracowanie własne na podstawie wyników badań ankietowych.</w:t>
      </w:r>
    </w:p>
    <w:p w:rsidR="00721619" w:rsidRPr="003E60AB" w:rsidRDefault="00721619" w:rsidP="001C52B2">
      <w:pPr>
        <w:spacing w:before="60" w:after="60"/>
        <w:jc w:val="center"/>
        <w:rPr>
          <w:rFonts w:cstheme="minorHAnsi"/>
          <w:b/>
          <w:color w:val="943634" w:themeColor="accent2" w:themeShade="BF"/>
        </w:rPr>
      </w:pPr>
    </w:p>
    <w:p w:rsidR="001C52B2" w:rsidRDefault="001C52B2" w:rsidP="001C52B2">
      <w:pPr>
        <w:spacing w:before="60" w:after="60"/>
        <w:jc w:val="center"/>
        <w:rPr>
          <w:rFonts w:cstheme="minorHAnsi"/>
          <w:b/>
          <w:color w:val="943634" w:themeColor="accent2" w:themeShade="BF"/>
        </w:rPr>
      </w:pPr>
      <w:r w:rsidRPr="003E60AB">
        <w:rPr>
          <w:rFonts w:cstheme="minorHAnsi"/>
          <w:b/>
          <w:noProof/>
          <w:color w:val="943634" w:themeColor="accent2" w:themeShade="BF"/>
        </w:rPr>
        <w:drawing>
          <wp:inline distT="0" distB="0" distL="0" distR="0">
            <wp:extent cx="4731489" cy="2626242"/>
            <wp:effectExtent l="0" t="0" r="0" b="0"/>
            <wp:docPr id="69"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21619" w:rsidRPr="00271B24" w:rsidRDefault="00721619" w:rsidP="00721619">
      <w:pPr>
        <w:pStyle w:val="rdo"/>
      </w:pPr>
      <w:r w:rsidRPr="00271B24">
        <w:t>Źródło: opracowanie własne na podstawie wyników badań ankietowych.</w:t>
      </w:r>
    </w:p>
    <w:p w:rsidR="00721619" w:rsidRPr="003E60AB" w:rsidRDefault="00721619" w:rsidP="001C52B2">
      <w:pPr>
        <w:spacing w:before="60" w:after="60"/>
        <w:jc w:val="center"/>
        <w:rPr>
          <w:rFonts w:cstheme="minorHAnsi"/>
          <w:b/>
          <w:color w:val="943634" w:themeColor="accent2" w:themeShade="BF"/>
        </w:rPr>
      </w:pPr>
    </w:p>
    <w:p w:rsidR="001C52B2" w:rsidRPr="003E60AB" w:rsidRDefault="001C52B2" w:rsidP="001C52B2">
      <w:pPr>
        <w:pStyle w:val="Akapitzlist"/>
        <w:numPr>
          <w:ilvl w:val="0"/>
          <w:numId w:val="47"/>
        </w:numPr>
        <w:spacing w:before="60" w:after="60" w:line="276" w:lineRule="auto"/>
        <w:ind w:left="567" w:hanging="425"/>
        <w:jc w:val="both"/>
        <w:rPr>
          <w:rFonts w:asciiTheme="minorHAnsi" w:hAnsiTheme="minorHAnsi" w:cstheme="minorHAnsi"/>
          <w:b/>
          <w:color w:val="943634" w:themeColor="accent2" w:themeShade="BF"/>
          <w:sz w:val="22"/>
          <w:szCs w:val="22"/>
        </w:rPr>
      </w:pPr>
      <w:r w:rsidRPr="003E60AB">
        <w:rPr>
          <w:rFonts w:asciiTheme="minorHAnsi" w:hAnsiTheme="minorHAnsi" w:cstheme="minorHAnsi"/>
          <w:b/>
          <w:color w:val="943634" w:themeColor="accent2" w:themeShade="BF"/>
          <w:sz w:val="22"/>
          <w:szCs w:val="22"/>
        </w:rPr>
        <w:t>Czy zgadza się Pani/Pan ze stwierdzeniem, że w gminie Pobiedziska jest mało korków ulicznych, szybko można się przemieszczać?</w:t>
      </w:r>
    </w:p>
    <w:p w:rsidR="001C52B2" w:rsidRPr="003E60AB" w:rsidRDefault="001C52B2" w:rsidP="001C52B2">
      <w:pPr>
        <w:spacing w:before="60" w:after="60"/>
        <w:jc w:val="both"/>
        <w:rPr>
          <w:rFonts w:cstheme="minorHAnsi"/>
        </w:rPr>
      </w:pPr>
      <w:r w:rsidRPr="003E60AB">
        <w:rPr>
          <w:rFonts w:cstheme="minorHAnsi"/>
        </w:rPr>
        <w:t>Mieszkańcy, choć niezadowoleni w większości ze stanu technicznego ulic, twierdzą, że w gminie nie ma korków ulicznych. Tego zdania jest 74% (ocena ważona) mieszkańców. Takie samo zdanie mają zarówno kobiety, jak i mężczyźni. Podobnie też na wyniki nie ma wpływu poziom wykształcenia. Jedynie osoby młode częściej wypowiadają się negatywnie na temat korków w gminie. Waga tego kryterium w ocenie atrakcyjności gminy jako miejsca zamieszkania jest niewiele powyżej średniej dla wszystkich kryteriów i rozkłada się równomiernie wśród badanych grup.</w:t>
      </w:r>
    </w:p>
    <w:p w:rsidR="001C52B2" w:rsidRPr="003E60AB" w:rsidRDefault="001C52B2" w:rsidP="001C52B2">
      <w:pPr>
        <w:spacing w:before="60" w:after="60"/>
        <w:jc w:val="both"/>
        <w:rPr>
          <w:rFonts w:cstheme="minorHAnsi"/>
        </w:rPr>
      </w:pPr>
      <w:r w:rsidRPr="003E60AB">
        <w:rPr>
          <w:rFonts w:cstheme="minorHAnsi"/>
        </w:rPr>
        <w:t>Wnioski: Korki uliczne w ocenie jego mieszkańców nie należą do problemów. Należy ten stan utrzymać, ponieważ jest to ważne kryterium oceny atrakcyjności gminy jako miejsca zamieszkania. W ramach strategii należy przewidzieć utrzymanie stanu na przynajmniej takim poziomie, jak obecnie.</w:t>
      </w:r>
    </w:p>
    <w:p w:rsidR="001C52B2" w:rsidRPr="00721619" w:rsidRDefault="001C52B2" w:rsidP="00721619">
      <w:pPr>
        <w:spacing w:before="60" w:after="60"/>
        <w:jc w:val="both"/>
        <w:rPr>
          <w:rFonts w:cstheme="minorHAnsi"/>
        </w:rPr>
      </w:pPr>
      <w:r w:rsidRPr="003E60AB">
        <w:rPr>
          <w:rFonts w:cstheme="minorHAnsi"/>
        </w:rPr>
        <w:lastRenderedPageBreak/>
        <w:t>Wykresy poniżej prezentują w kolejności: 1) Rozkład odpowiedzi na pytanie, czy mieszkańcy zgadzają się z twierdzeniem, że w gminie jest mało korków ulicznych i można się szybko przemieszczać; 2) Średnia oceny, czy korki uliczne mają znaczenie w atrakcyjności gminy jako miejsca zamieszkania.</w:t>
      </w:r>
    </w:p>
    <w:p w:rsidR="001C52B2" w:rsidRDefault="001C52B2" w:rsidP="001C52B2">
      <w:pPr>
        <w:spacing w:before="60" w:after="60"/>
        <w:jc w:val="center"/>
        <w:rPr>
          <w:rFonts w:cstheme="minorHAnsi"/>
          <w:b/>
          <w:color w:val="943634" w:themeColor="accent2" w:themeShade="BF"/>
        </w:rPr>
      </w:pPr>
      <w:r w:rsidRPr="003E60AB">
        <w:rPr>
          <w:rFonts w:cstheme="minorHAnsi"/>
          <w:b/>
          <w:noProof/>
          <w:color w:val="943634" w:themeColor="accent2" w:themeShade="BF"/>
        </w:rPr>
        <w:drawing>
          <wp:inline distT="0" distB="0" distL="0" distR="0">
            <wp:extent cx="4848447" cy="2796362"/>
            <wp:effectExtent l="0" t="0" r="0" b="0"/>
            <wp:docPr id="70"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21619" w:rsidRPr="00271B24" w:rsidRDefault="00721619" w:rsidP="00721619">
      <w:pPr>
        <w:pStyle w:val="rdo"/>
      </w:pPr>
      <w:r w:rsidRPr="00271B24">
        <w:t>Źródło: opracowanie własne na podstawie wyników badań ankietowych.</w:t>
      </w:r>
    </w:p>
    <w:p w:rsidR="00721619" w:rsidRPr="003E60AB" w:rsidRDefault="00721619" w:rsidP="001C52B2">
      <w:pPr>
        <w:spacing w:before="60" w:after="60"/>
        <w:jc w:val="center"/>
        <w:rPr>
          <w:rFonts w:cstheme="minorHAnsi"/>
          <w:b/>
          <w:color w:val="943634" w:themeColor="accent2" w:themeShade="BF"/>
        </w:rPr>
      </w:pPr>
    </w:p>
    <w:p w:rsidR="001C52B2" w:rsidRDefault="001C52B2" w:rsidP="001C52B2">
      <w:pPr>
        <w:spacing w:before="60" w:after="60"/>
        <w:jc w:val="center"/>
        <w:rPr>
          <w:rFonts w:cstheme="minorHAnsi"/>
          <w:b/>
          <w:color w:val="943634" w:themeColor="accent2" w:themeShade="BF"/>
        </w:rPr>
      </w:pPr>
      <w:r w:rsidRPr="003E60AB">
        <w:rPr>
          <w:rFonts w:cstheme="minorHAnsi"/>
          <w:b/>
          <w:noProof/>
          <w:color w:val="943634" w:themeColor="accent2" w:themeShade="BF"/>
        </w:rPr>
        <w:drawing>
          <wp:inline distT="0" distB="0" distL="0" distR="0">
            <wp:extent cx="4869711" cy="2636875"/>
            <wp:effectExtent l="0" t="0" r="0" b="0"/>
            <wp:docPr id="71"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21619" w:rsidRPr="00271B24" w:rsidRDefault="00721619" w:rsidP="00721619">
      <w:pPr>
        <w:pStyle w:val="rdo"/>
      </w:pPr>
      <w:r w:rsidRPr="00271B24">
        <w:t>Źródło: opracowanie własne na podstawie wyników badań ankietowych.</w:t>
      </w:r>
    </w:p>
    <w:p w:rsidR="001C52B2" w:rsidRPr="003E60AB" w:rsidRDefault="001C52B2" w:rsidP="001C52B2">
      <w:pPr>
        <w:spacing w:before="60" w:after="60"/>
        <w:jc w:val="center"/>
        <w:rPr>
          <w:rFonts w:cstheme="minorHAnsi"/>
          <w:b/>
          <w:color w:val="943634" w:themeColor="accent2" w:themeShade="BF"/>
        </w:rPr>
      </w:pPr>
    </w:p>
    <w:p w:rsidR="001C52B2" w:rsidRPr="003E60AB" w:rsidRDefault="001C52B2" w:rsidP="001C52B2">
      <w:pPr>
        <w:pStyle w:val="Akapitzlist"/>
        <w:numPr>
          <w:ilvl w:val="0"/>
          <w:numId w:val="47"/>
        </w:numPr>
        <w:spacing w:before="60" w:after="60" w:line="276" w:lineRule="auto"/>
        <w:ind w:left="426" w:hanging="284"/>
        <w:jc w:val="both"/>
        <w:rPr>
          <w:rFonts w:asciiTheme="minorHAnsi" w:hAnsiTheme="minorHAnsi" w:cstheme="minorHAnsi"/>
          <w:b/>
          <w:color w:val="943634" w:themeColor="accent2" w:themeShade="BF"/>
          <w:sz w:val="22"/>
          <w:szCs w:val="22"/>
        </w:rPr>
      </w:pPr>
      <w:r w:rsidRPr="003E60AB">
        <w:rPr>
          <w:rFonts w:asciiTheme="minorHAnsi" w:hAnsiTheme="minorHAnsi" w:cstheme="minorHAnsi"/>
          <w:b/>
          <w:color w:val="943634" w:themeColor="accent2" w:themeShade="BF"/>
          <w:sz w:val="22"/>
          <w:szCs w:val="22"/>
        </w:rPr>
        <w:t>Czy zgadza się Pani/Pan ze stwierdzeniem, że w gminie Pobiedziska szkoły prowadzone przez gminę (podstawówki, gimnazja) dobrze przygotowują do dalszej edukacji?</w:t>
      </w:r>
    </w:p>
    <w:p w:rsidR="001C52B2" w:rsidRPr="003E60AB" w:rsidRDefault="001C52B2" w:rsidP="001C52B2">
      <w:pPr>
        <w:spacing w:before="60" w:after="60"/>
        <w:jc w:val="both"/>
        <w:rPr>
          <w:rFonts w:cstheme="minorHAnsi"/>
        </w:rPr>
      </w:pPr>
      <w:r w:rsidRPr="003E60AB">
        <w:rPr>
          <w:rFonts w:cstheme="minorHAnsi"/>
        </w:rPr>
        <w:t xml:space="preserve">Mieszkańcy gminy twierdzą, że szkoły prowadzone przez gminę (podstawówki, gimnazja) dobrze przygotowują do dalszej edukacji. Większość ważoną stanowi aż 86% mieszkańców. Zdecydowanie częściej twierdzą tak mężczyźni. Osoby z wykształceniem średnim i policealnym oraz osoby w wieku 40-59 lat stanowią grupę, która najbardziej ze wszystkich utożsamia się z tym twierdzeniem. Należy jednak podkreślić, że różnice pomiędzy poszczególnymi grupami objętymi badaniem są nieznaczne. Większość ocenia, że poziom nauczania w podstawówkach i gimnazjach jest mniej ważny niż inne </w:t>
      </w:r>
      <w:r w:rsidRPr="003E60AB">
        <w:rPr>
          <w:rFonts w:cstheme="minorHAnsi"/>
        </w:rPr>
        <w:lastRenderedPageBreak/>
        <w:t>kryteria oceny atrakcyjności gminy. Waga tego kryterium w ocenie atrakcyjności gminy jako miejsca zamieszkania spada wraz z wiekiem oraz wykształceniem. Ważniejsza jest dla kobiet niż dla mężczyzn.</w:t>
      </w:r>
    </w:p>
    <w:p w:rsidR="001C52B2" w:rsidRPr="003E60AB" w:rsidRDefault="001C52B2" w:rsidP="001C52B2">
      <w:pPr>
        <w:spacing w:before="60" w:after="60"/>
        <w:jc w:val="both"/>
        <w:rPr>
          <w:rFonts w:cstheme="minorHAnsi"/>
        </w:rPr>
      </w:pPr>
      <w:r w:rsidRPr="003E60AB">
        <w:rPr>
          <w:rFonts w:cstheme="minorHAnsi"/>
        </w:rPr>
        <w:t>Wnioski: Poziom nauczania w szkołach podstawowych i gimnazjalnych oceniany jest przez mieszkańców bardzo dobrze. Sondaż wskazuje, że jest to mocna strona. Jest to ważne kryterium oceny atrakcyjności gminy pod względem zamieszkania dla osób młodych oraz z wyższym wykształceniem. W ramach strategii należy z pewnością planować działania na rzecz podwyższania poziomu nauczania zgodnie z realnymi wynikami nauczania w szkołach gminnych.</w:t>
      </w:r>
    </w:p>
    <w:p w:rsidR="001C52B2" w:rsidRPr="00291CA0" w:rsidRDefault="001C52B2" w:rsidP="00291CA0">
      <w:pPr>
        <w:spacing w:before="60" w:after="60"/>
        <w:jc w:val="both"/>
        <w:rPr>
          <w:rFonts w:cstheme="minorHAnsi"/>
        </w:rPr>
      </w:pPr>
      <w:r w:rsidRPr="003E60AB">
        <w:rPr>
          <w:rFonts w:cstheme="minorHAnsi"/>
        </w:rPr>
        <w:t>Wykresy poniżej prezentują w kolejności: 1) Rozkład odpowiedzi na pytanie, czy mieszkańcy zgadzają się z twierdzeniem, że szkoły prowadzone przez gminę (podstawówki, gimnazja) dobrze przygotowują do dalszej edukacji; 2) Średnia oceny, czy poziom nauczania w podstawówkach, gimnazjach ma znaczenie w atrakcyjności gminy jako miejsca zamieszkania.</w:t>
      </w:r>
    </w:p>
    <w:p w:rsidR="001C52B2" w:rsidRDefault="001C52B2" w:rsidP="001C52B2">
      <w:pPr>
        <w:spacing w:before="60" w:after="60"/>
        <w:rPr>
          <w:rFonts w:cstheme="minorHAnsi"/>
          <w:b/>
          <w:color w:val="943634" w:themeColor="accent2" w:themeShade="BF"/>
        </w:rPr>
      </w:pPr>
      <w:r w:rsidRPr="003E60AB">
        <w:rPr>
          <w:rFonts w:cstheme="minorHAnsi"/>
          <w:b/>
          <w:noProof/>
          <w:color w:val="943634" w:themeColor="accent2" w:themeShade="BF"/>
        </w:rPr>
        <w:drawing>
          <wp:inline distT="0" distB="0" distL="0" distR="0">
            <wp:extent cx="4805917" cy="2636875"/>
            <wp:effectExtent l="0" t="0" r="0" b="0"/>
            <wp:docPr id="72"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47256" w:rsidRPr="00271B24" w:rsidRDefault="00347256" w:rsidP="00347256">
      <w:pPr>
        <w:pStyle w:val="rdo"/>
      </w:pPr>
      <w:r w:rsidRPr="00271B24">
        <w:t>Źródło: opracowanie własne na podstawie wyników badań ankietowych.</w:t>
      </w:r>
    </w:p>
    <w:p w:rsidR="00347256" w:rsidRPr="003E60AB" w:rsidRDefault="00347256" w:rsidP="001C52B2">
      <w:pPr>
        <w:spacing w:before="60" w:after="60"/>
        <w:rPr>
          <w:rFonts w:cstheme="minorHAnsi"/>
          <w:b/>
          <w:color w:val="943634" w:themeColor="accent2" w:themeShade="BF"/>
        </w:rPr>
      </w:pPr>
    </w:p>
    <w:p w:rsidR="001C52B2" w:rsidRDefault="001C52B2" w:rsidP="001C52B2">
      <w:pPr>
        <w:spacing w:before="60" w:after="60"/>
        <w:jc w:val="both"/>
        <w:rPr>
          <w:rFonts w:cstheme="minorHAnsi"/>
          <w:b/>
          <w:color w:val="943634" w:themeColor="accent2" w:themeShade="BF"/>
        </w:rPr>
      </w:pPr>
      <w:r w:rsidRPr="003E60AB">
        <w:rPr>
          <w:rFonts w:cstheme="minorHAnsi"/>
          <w:b/>
          <w:noProof/>
          <w:color w:val="943634" w:themeColor="accent2" w:themeShade="BF"/>
        </w:rPr>
        <w:drawing>
          <wp:inline distT="0" distB="0" distL="0" distR="0">
            <wp:extent cx="4805917" cy="2594345"/>
            <wp:effectExtent l="0" t="0" r="0" b="0"/>
            <wp:docPr id="73"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47256" w:rsidRPr="00271B24" w:rsidRDefault="00347256" w:rsidP="00347256">
      <w:pPr>
        <w:pStyle w:val="rdo"/>
      </w:pPr>
      <w:r w:rsidRPr="00271B24">
        <w:t>Źródło: opracowanie własne na podstawie wyników badań ankietowych.</w:t>
      </w:r>
    </w:p>
    <w:p w:rsidR="00E842A2" w:rsidRPr="003E60AB" w:rsidRDefault="00E842A2" w:rsidP="001C52B2">
      <w:pPr>
        <w:spacing w:before="60" w:after="60"/>
        <w:jc w:val="both"/>
        <w:rPr>
          <w:rFonts w:cstheme="minorHAnsi"/>
          <w:b/>
          <w:color w:val="943634" w:themeColor="accent2" w:themeShade="BF"/>
        </w:rPr>
      </w:pPr>
    </w:p>
    <w:p w:rsidR="001C52B2" w:rsidRPr="003E60AB" w:rsidRDefault="001C52B2" w:rsidP="001C52B2">
      <w:pPr>
        <w:pStyle w:val="Akapitzlist"/>
        <w:numPr>
          <w:ilvl w:val="0"/>
          <w:numId w:val="47"/>
        </w:numPr>
        <w:spacing w:before="60" w:after="60" w:line="276" w:lineRule="auto"/>
        <w:ind w:left="426" w:hanging="284"/>
        <w:jc w:val="both"/>
        <w:rPr>
          <w:rFonts w:asciiTheme="minorHAnsi" w:hAnsiTheme="minorHAnsi" w:cstheme="minorHAnsi"/>
          <w:b/>
          <w:color w:val="943634" w:themeColor="accent2" w:themeShade="BF"/>
          <w:sz w:val="22"/>
          <w:szCs w:val="22"/>
        </w:rPr>
      </w:pPr>
      <w:r w:rsidRPr="003E60AB">
        <w:rPr>
          <w:rFonts w:asciiTheme="minorHAnsi" w:hAnsiTheme="minorHAnsi" w:cstheme="minorHAnsi"/>
          <w:b/>
          <w:color w:val="943634" w:themeColor="accent2" w:themeShade="BF"/>
          <w:sz w:val="22"/>
          <w:szCs w:val="22"/>
        </w:rPr>
        <w:t>Czy zgadza się Pani/Pan ze stwierdzeniem, że w gminie Pobiedziska w urzędach można wszystko łatwo i szybko załatwić?</w:t>
      </w:r>
    </w:p>
    <w:p w:rsidR="001C52B2" w:rsidRPr="003E60AB" w:rsidRDefault="001C52B2" w:rsidP="001C52B2">
      <w:pPr>
        <w:spacing w:before="60" w:after="60"/>
        <w:jc w:val="both"/>
        <w:rPr>
          <w:rFonts w:cstheme="minorHAnsi"/>
        </w:rPr>
      </w:pPr>
      <w:r w:rsidRPr="003E60AB">
        <w:rPr>
          <w:rFonts w:cstheme="minorHAnsi"/>
        </w:rPr>
        <w:lastRenderedPageBreak/>
        <w:t>Mieszkańcy twierdzą, że w urzędach w gminie można wszystko łatwo i szybko załatwić. Twierdzi tak 69% w ocenie ważonej. Zdecydowanie bardziej przekonane są o tym kobiety niż mężczyźni.  Przeciwnego zdania są osoby z wykształceniem wyższym, którzy zdecydowanie częściej w negatywny sposób wypowiadają się na temat pracy urzędów. Najbardziej zadowolone są osoby z wykształceniem średnim lub policealnym. Spośród grup wiekowych najbardziej sceptyczne odnośnie oceny funkcjonowania urzędów są grupy 18-29 lat oraz 40-59 lat. Sprawność funkcjonowania urzędów jest dla mieszkańców ważnym kryterium oceny atrakcyjności gminy jako miejsca zamieszkania. Szczególnie ważne jest to dla mężczyzn. Waga tego kryterium w ocenie atrakcyjności gminy jako miejsca zamieszkania spada wraz z wykształceniem Grupy wiekowe wskazują, że ocena tego kryterium rośnie wraz z wiekiem do kategorii 40-59 lat, a następnie znacznie spada.</w:t>
      </w:r>
    </w:p>
    <w:p w:rsidR="001C52B2" w:rsidRPr="003E60AB" w:rsidRDefault="001C52B2" w:rsidP="001C52B2">
      <w:pPr>
        <w:spacing w:before="60" w:after="60"/>
        <w:jc w:val="both"/>
        <w:rPr>
          <w:rFonts w:cstheme="minorHAnsi"/>
        </w:rPr>
      </w:pPr>
      <w:r w:rsidRPr="008C433C">
        <w:rPr>
          <w:rFonts w:cstheme="minorHAnsi"/>
        </w:rPr>
        <w:t>Wnioski:</w:t>
      </w:r>
      <w:r>
        <w:rPr>
          <w:rFonts w:cstheme="minorHAnsi"/>
        </w:rPr>
        <w:t xml:space="preserve"> Praca urzędów w gmin</w:t>
      </w:r>
      <w:r w:rsidRPr="003E60AB">
        <w:rPr>
          <w:rFonts w:cstheme="minorHAnsi"/>
        </w:rPr>
        <w:t>ie jest uważana przez mieszkańców za jego mocną stronę, potwierdzoną przez większość mieszkańców. Jest też postrzegana jako bardzo ważne kryt</w:t>
      </w:r>
      <w:r>
        <w:rPr>
          <w:rFonts w:cstheme="minorHAnsi"/>
        </w:rPr>
        <w:t>erium oceny atrakcyjności gminy</w:t>
      </w:r>
      <w:r w:rsidRPr="003E60AB">
        <w:rPr>
          <w:rFonts w:cstheme="minorHAnsi"/>
        </w:rPr>
        <w:t xml:space="preserve"> jako miejsca zamieszkania. Zapisy strategii powinny być ukierunkowane na poprawę sytuacji. </w:t>
      </w:r>
    </w:p>
    <w:p w:rsidR="001C52B2" w:rsidRPr="00A01792" w:rsidRDefault="001C52B2" w:rsidP="001C52B2">
      <w:pPr>
        <w:spacing w:before="60" w:after="60"/>
        <w:jc w:val="both"/>
        <w:rPr>
          <w:rFonts w:cstheme="minorHAnsi"/>
        </w:rPr>
      </w:pPr>
      <w:r w:rsidRPr="003E60AB">
        <w:rPr>
          <w:rFonts w:cstheme="minorHAnsi"/>
        </w:rPr>
        <w:t>Wykresy poniżej prezentują w kolejności: 1) Rozkład odpowiedzi na pytanie, czy mieszkańcy zgadzają się z twierdzeniem, że w urzędach w gminie można wszystko łatwo i szybko załatwić; 2) Średnia oceny, czy jakość załatwiania spraw w urzędach w gminie ma znaczenie w atrakcyjności gminy Pobiedziska jako miejsca zamieszkania.</w:t>
      </w:r>
    </w:p>
    <w:p w:rsidR="001C52B2" w:rsidRDefault="001C52B2" w:rsidP="00A01792">
      <w:pPr>
        <w:spacing w:before="60" w:after="60"/>
        <w:rPr>
          <w:rFonts w:cstheme="minorHAnsi"/>
          <w:b/>
          <w:color w:val="943634" w:themeColor="accent2" w:themeShade="BF"/>
        </w:rPr>
      </w:pPr>
      <w:r w:rsidRPr="003E60AB">
        <w:rPr>
          <w:rFonts w:cstheme="minorHAnsi"/>
          <w:b/>
          <w:noProof/>
          <w:color w:val="943634" w:themeColor="accent2" w:themeShade="BF"/>
        </w:rPr>
        <w:drawing>
          <wp:inline distT="0" distB="0" distL="0" distR="0">
            <wp:extent cx="4890977" cy="2721935"/>
            <wp:effectExtent l="0" t="0" r="0" b="0"/>
            <wp:docPr id="74"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01792" w:rsidRPr="00271B24" w:rsidRDefault="00A01792" w:rsidP="00A01792">
      <w:pPr>
        <w:pStyle w:val="rdo"/>
      </w:pPr>
      <w:r w:rsidRPr="00271B24">
        <w:t>Źródło: opracowanie własne na podstawie wyników badań ankietowych.</w:t>
      </w:r>
    </w:p>
    <w:p w:rsidR="00A01792" w:rsidRPr="003E60AB" w:rsidRDefault="00A01792" w:rsidP="00A01792">
      <w:pPr>
        <w:spacing w:before="60" w:after="60"/>
        <w:rPr>
          <w:rFonts w:cstheme="minorHAnsi"/>
          <w:b/>
          <w:color w:val="943634" w:themeColor="accent2" w:themeShade="BF"/>
        </w:rPr>
      </w:pPr>
    </w:p>
    <w:p w:rsidR="001C52B2" w:rsidRDefault="001C52B2" w:rsidP="001C52B2">
      <w:pPr>
        <w:spacing w:before="60" w:after="60"/>
        <w:jc w:val="both"/>
        <w:rPr>
          <w:rFonts w:cstheme="minorHAnsi"/>
          <w:b/>
          <w:color w:val="943634" w:themeColor="accent2" w:themeShade="BF"/>
        </w:rPr>
      </w:pPr>
      <w:r w:rsidRPr="003E60AB">
        <w:rPr>
          <w:rFonts w:cstheme="minorHAnsi"/>
          <w:b/>
          <w:noProof/>
          <w:color w:val="943634" w:themeColor="accent2" w:themeShade="BF"/>
        </w:rPr>
        <w:lastRenderedPageBreak/>
        <w:drawing>
          <wp:inline distT="0" distB="0" distL="0" distR="0">
            <wp:extent cx="4837814" cy="2594345"/>
            <wp:effectExtent l="0" t="0" r="0" b="0"/>
            <wp:docPr id="75"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01792" w:rsidRPr="00271B24" w:rsidRDefault="00A01792" w:rsidP="00A01792">
      <w:pPr>
        <w:pStyle w:val="rdo"/>
      </w:pPr>
      <w:r w:rsidRPr="00271B24">
        <w:t>Źródło: opracowanie własne na podstawie wyników badań ankietowych.</w:t>
      </w:r>
    </w:p>
    <w:p w:rsidR="00A01792" w:rsidRPr="003E60AB" w:rsidRDefault="00A01792" w:rsidP="001C52B2">
      <w:pPr>
        <w:spacing w:before="60" w:after="60"/>
        <w:jc w:val="both"/>
        <w:rPr>
          <w:rFonts w:cstheme="minorHAnsi"/>
          <w:b/>
          <w:color w:val="943634" w:themeColor="accent2" w:themeShade="BF"/>
        </w:rPr>
      </w:pPr>
    </w:p>
    <w:p w:rsidR="001C52B2" w:rsidRPr="003E60AB" w:rsidRDefault="001C52B2" w:rsidP="001C52B2">
      <w:pPr>
        <w:pStyle w:val="Akapitzlist"/>
        <w:numPr>
          <w:ilvl w:val="0"/>
          <w:numId w:val="47"/>
        </w:numPr>
        <w:spacing w:before="60" w:after="60" w:line="276" w:lineRule="auto"/>
        <w:ind w:left="567" w:hanging="425"/>
        <w:jc w:val="both"/>
        <w:rPr>
          <w:rFonts w:asciiTheme="minorHAnsi" w:hAnsiTheme="minorHAnsi" w:cstheme="minorHAnsi"/>
          <w:b/>
          <w:color w:val="943634" w:themeColor="accent2" w:themeShade="BF"/>
          <w:sz w:val="22"/>
          <w:szCs w:val="22"/>
        </w:rPr>
      </w:pPr>
      <w:r w:rsidRPr="003E60AB">
        <w:rPr>
          <w:rFonts w:asciiTheme="minorHAnsi" w:hAnsiTheme="minorHAnsi" w:cstheme="minorHAnsi"/>
          <w:b/>
          <w:color w:val="943634" w:themeColor="accent2" w:themeShade="BF"/>
          <w:sz w:val="22"/>
          <w:szCs w:val="22"/>
        </w:rPr>
        <w:t>Czy zgadza się Pani/Pan ze  stwierdzeniem, że w gminie Pobiedziska czuje się Pani/Pan bezpiecznie?</w:t>
      </w:r>
    </w:p>
    <w:p w:rsidR="001C52B2" w:rsidRPr="003E60AB" w:rsidRDefault="001C52B2" w:rsidP="001C52B2">
      <w:pPr>
        <w:spacing w:before="60" w:after="60"/>
        <w:jc w:val="both"/>
        <w:rPr>
          <w:rFonts w:cstheme="minorHAnsi"/>
        </w:rPr>
      </w:pPr>
      <w:r w:rsidRPr="003E60AB">
        <w:rPr>
          <w:rFonts w:cstheme="minorHAnsi"/>
        </w:rPr>
        <w:t>Mieszkańcy twierdzą, że czują się w gminie bezpiecznie, przewaga osób tak twierdzących nad pozostałymi jest duża. Aż 94% w ocenie ważonej twierdzi, że czuje się bezpiecznie. Kobiety czują się równie bezpiecznie jak mężczyźni. Poczucie bezpieczeństwa jest najniższe wśród osób z wyższym wykształceniem, w pozostałych grupach wyniki wyglądają podobnie. W kategorii wiekowej nie obserwuje się większych różnic, jednak osoby starsze częściej nie zgadzają się z tym twierdzeniem. Poczucie bezpieczeństwa jest dla mieszkańców bardzo ważnym kryterium oceny atrakcyjności gminy jako miejsca zamieszkania. Najważniejszym spośród wszystkich badanych. Wszystkie grupy respondentów jednakowo wysoko oceniają to kryterium.</w:t>
      </w:r>
    </w:p>
    <w:p w:rsidR="001C52B2" w:rsidRPr="003E60AB" w:rsidRDefault="001C52B2" w:rsidP="001C52B2">
      <w:pPr>
        <w:spacing w:before="60" w:after="60"/>
        <w:jc w:val="both"/>
        <w:rPr>
          <w:rFonts w:cstheme="minorHAnsi"/>
        </w:rPr>
      </w:pPr>
      <w:r w:rsidRPr="003E60AB">
        <w:rPr>
          <w:rFonts w:cstheme="minorHAnsi"/>
        </w:rPr>
        <w:t>Wnioski: Poczucie bezpieczeństwa jest jednoznacznie oceniane jako mocna strona gminy. Wszyscy mieszkańcy stwierdzają, że jest to bardzo ważne kryterium jakości życia. Działania zaplanowane w ramach strategii powinny być nakierowane na utrzymanie stanu i ze względu na wagę kryterium w ocenie jakości życia powinny być traktowane priorytetowo.</w:t>
      </w:r>
    </w:p>
    <w:p w:rsidR="001C52B2" w:rsidRPr="003E60AB" w:rsidRDefault="001C52B2" w:rsidP="001C52B2">
      <w:pPr>
        <w:spacing w:before="60" w:after="60"/>
        <w:jc w:val="both"/>
        <w:rPr>
          <w:rFonts w:cstheme="minorHAnsi"/>
          <w:b/>
          <w:color w:val="943634" w:themeColor="accent2" w:themeShade="BF"/>
        </w:rPr>
      </w:pPr>
      <w:r w:rsidRPr="003E60AB">
        <w:rPr>
          <w:rFonts w:cstheme="minorHAnsi"/>
        </w:rPr>
        <w:t>Wykresy poniżej prezentują w kolejności: 1) Rozkład odpowiedzi na pytanie, czy mieszkańcy zgadzają się z twierdzeniem, że w gminie czują się bezpiecznie; 2) Średnia oceny, czy poczucie bezpieczeństwa w gminie ma znaczenie w atrakcyjności gminy jako miejsca zamieszkania.</w:t>
      </w:r>
    </w:p>
    <w:p w:rsidR="001C52B2" w:rsidRDefault="001C52B2" w:rsidP="001C52B2">
      <w:pPr>
        <w:spacing w:before="60" w:after="60"/>
        <w:jc w:val="center"/>
        <w:rPr>
          <w:rFonts w:cstheme="minorHAnsi"/>
          <w:b/>
          <w:color w:val="943634" w:themeColor="accent2" w:themeShade="BF"/>
        </w:rPr>
      </w:pPr>
      <w:r w:rsidRPr="003E60AB">
        <w:rPr>
          <w:rFonts w:cstheme="minorHAnsi"/>
          <w:b/>
          <w:noProof/>
          <w:color w:val="943634" w:themeColor="accent2" w:themeShade="BF"/>
        </w:rPr>
        <w:lastRenderedPageBreak/>
        <w:drawing>
          <wp:inline distT="0" distB="0" distL="0" distR="0">
            <wp:extent cx="4657061" cy="2881424"/>
            <wp:effectExtent l="0" t="0" r="0" b="0"/>
            <wp:docPr id="76"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B1BDB" w:rsidRPr="00271B24" w:rsidRDefault="008B1BDB" w:rsidP="008B1BDB">
      <w:pPr>
        <w:pStyle w:val="rdo"/>
      </w:pPr>
      <w:r w:rsidRPr="00271B24">
        <w:t>Źródło: opracowanie własne na podstawie wyników badań ankietowych.</w:t>
      </w:r>
    </w:p>
    <w:p w:rsidR="008B1BDB" w:rsidRPr="003E60AB" w:rsidRDefault="008B1BDB" w:rsidP="001C52B2">
      <w:pPr>
        <w:spacing w:before="60" w:after="60"/>
        <w:jc w:val="center"/>
        <w:rPr>
          <w:rFonts w:cstheme="minorHAnsi"/>
          <w:b/>
          <w:color w:val="943634" w:themeColor="accent2" w:themeShade="BF"/>
        </w:rPr>
      </w:pPr>
    </w:p>
    <w:p w:rsidR="001C52B2" w:rsidRDefault="001C52B2" w:rsidP="001C52B2">
      <w:pPr>
        <w:spacing w:before="60" w:after="60"/>
        <w:jc w:val="center"/>
        <w:rPr>
          <w:rFonts w:cstheme="minorHAnsi"/>
          <w:b/>
          <w:color w:val="943634" w:themeColor="accent2" w:themeShade="BF"/>
        </w:rPr>
      </w:pPr>
      <w:r w:rsidRPr="003E60AB">
        <w:rPr>
          <w:rFonts w:cstheme="minorHAnsi"/>
          <w:b/>
          <w:noProof/>
          <w:color w:val="943634" w:themeColor="accent2" w:themeShade="BF"/>
        </w:rPr>
        <w:drawing>
          <wp:inline distT="0" distB="0" distL="0" distR="0">
            <wp:extent cx="4752754" cy="2838893"/>
            <wp:effectExtent l="0" t="0" r="0" b="0"/>
            <wp:docPr id="77"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8B1BDB" w:rsidRPr="00271B24" w:rsidRDefault="008B1BDB" w:rsidP="008B1BDB">
      <w:pPr>
        <w:pStyle w:val="rdo"/>
      </w:pPr>
      <w:r w:rsidRPr="00271B24">
        <w:t>Źródło: opracowanie własne na podstawie wyników badań ankietowych.</w:t>
      </w:r>
    </w:p>
    <w:p w:rsidR="008B1BDB" w:rsidRPr="003E60AB" w:rsidRDefault="008B1BDB" w:rsidP="001C52B2">
      <w:pPr>
        <w:spacing w:before="60" w:after="60"/>
        <w:jc w:val="center"/>
        <w:rPr>
          <w:rFonts w:cstheme="minorHAnsi"/>
          <w:b/>
          <w:color w:val="943634" w:themeColor="accent2" w:themeShade="BF"/>
        </w:rPr>
      </w:pPr>
    </w:p>
    <w:p w:rsidR="001C52B2" w:rsidRPr="003E60AB" w:rsidRDefault="001C52B2" w:rsidP="001C52B2">
      <w:pPr>
        <w:pStyle w:val="Akapitzlist"/>
        <w:numPr>
          <w:ilvl w:val="0"/>
          <w:numId w:val="47"/>
        </w:numPr>
        <w:spacing w:before="60" w:after="60" w:line="276" w:lineRule="auto"/>
        <w:ind w:left="567" w:hanging="425"/>
        <w:jc w:val="both"/>
        <w:rPr>
          <w:rFonts w:asciiTheme="minorHAnsi" w:hAnsiTheme="minorHAnsi" w:cstheme="minorHAnsi"/>
          <w:b/>
          <w:color w:val="943634" w:themeColor="accent2" w:themeShade="BF"/>
          <w:sz w:val="22"/>
          <w:szCs w:val="22"/>
        </w:rPr>
      </w:pPr>
      <w:r w:rsidRPr="003E60AB">
        <w:rPr>
          <w:rFonts w:asciiTheme="minorHAnsi" w:hAnsiTheme="minorHAnsi" w:cstheme="minorHAnsi"/>
          <w:b/>
          <w:color w:val="943634" w:themeColor="accent2" w:themeShade="BF"/>
          <w:sz w:val="22"/>
          <w:szCs w:val="22"/>
        </w:rPr>
        <w:t>Czy zgadza się Pani/Pan ze stwierdzeniem, że w gminie Pobiedziska można łatwo skorzystać z porady lekarskiej?</w:t>
      </w:r>
    </w:p>
    <w:p w:rsidR="001C52B2" w:rsidRPr="003E60AB" w:rsidRDefault="001C52B2" w:rsidP="001C52B2">
      <w:pPr>
        <w:spacing w:before="60" w:after="60"/>
        <w:jc w:val="both"/>
        <w:rPr>
          <w:rFonts w:cstheme="minorHAnsi"/>
        </w:rPr>
      </w:pPr>
      <w:r w:rsidRPr="003E60AB">
        <w:rPr>
          <w:rFonts w:cstheme="minorHAnsi"/>
        </w:rPr>
        <w:t>Mieszkańcy twierdzą, że w gminie łatwo jest skorzystać z porady lekarskiej. 70% w ocenie ważonej twierdzi, że ma trudności w dostępie do tej usługi. Na problem z uzyskaniem porady lekarskiej o wiele częściej narzekają mężczyźni niż kobiety. Dobra ocena dostępności do usług lekarskich wzrasta w sposób zdecydowany wraz ze spadkiem poziomu wykształcenia mieszkańców. Wśród poszczególnych grup wiekowych pozytywne zdanie na temat dostępności do porady lekarskiej najczęściej wyrażano w grupie osób 30-39 lat. Dostęp do tej usługi jest dla mieszkańców bardzo ważnym kryterium oceny atrakcyjności gminy jako miejsca zamieszkania. Wszystkie grupy respondentów jednakowo wysoko oceniają to kryterium.</w:t>
      </w:r>
    </w:p>
    <w:p w:rsidR="001C52B2" w:rsidRPr="003E60AB" w:rsidRDefault="001C52B2" w:rsidP="001C52B2">
      <w:pPr>
        <w:spacing w:before="60" w:after="60"/>
        <w:jc w:val="both"/>
        <w:rPr>
          <w:rFonts w:cstheme="minorHAnsi"/>
        </w:rPr>
      </w:pPr>
      <w:r w:rsidRPr="003E60AB">
        <w:rPr>
          <w:rFonts w:cstheme="minorHAnsi"/>
        </w:rPr>
        <w:lastRenderedPageBreak/>
        <w:t>Wnioski: Dostęp do porady lekarskiej jest oceniany jako mocna strona gminy. Jednocześnie jest to bardzo ważne kryterium jakości życia. Działania zaplanowane w ramach strategii powinny być nakierowane na poprawę lub przynajmniej utrzymanie dotychczasowego stanu. Działania powinny szczególnie uwzględniać dobro kobiet.</w:t>
      </w:r>
    </w:p>
    <w:p w:rsidR="001C52B2" w:rsidRPr="003E60AB" w:rsidRDefault="001C52B2" w:rsidP="001C52B2">
      <w:pPr>
        <w:spacing w:before="60" w:after="60"/>
        <w:jc w:val="both"/>
        <w:rPr>
          <w:rFonts w:cstheme="minorHAnsi"/>
          <w:b/>
          <w:color w:val="943634" w:themeColor="accent2" w:themeShade="BF"/>
        </w:rPr>
      </w:pPr>
      <w:r w:rsidRPr="003E60AB">
        <w:rPr>
          <w:rFonts w:cstheme="minorHAnsi"/>
        </w:rPr>
        <w:t>Wykresy poniżej prezentują w kolejności: 1) Rozkład odpowiedzi na pytanie, czy mieszkańcy zgadzają się z twierdzeniem, że w gminie łatwo można skorzystać z porady lekarskiej; 2) Średnia oceny, czy dostęp do porady lekarskiej w gminie ma znaczenie w atrakcyjności gminy jako miejsca zamieszkania.</w:t>
      </w:r>
    </w:p>
    <w:p w:rsidR="001C52B2" w:rsidRDefault="001C52B2" w:rsidP="00210EBF">
      <w:pPr>
        <w:spacing w:before="60" w:after="60"/>
        <w:jc w:val="center"/>
        <w:rPr>
          <w:rFonts w:cstheme="minorHAnsi"/>
          <w:b/>
          <w:color w:val="943634" w:themeColor="accent2" w:themeShade="BF"/>
        </w:rPr>
      </w:pPr>
      <w:r w:rsidRPr="003E60AB">
        <w:rPr>
          <w:rFonts w:cstheme="minorHAnsi"/>
          <w:b/>
          <w:noProof/>
          <w:color w:val="943634" w:themeColor="accent2" w:themeShade="BF"/>
        </w:rPr>
        <w:drawing>
          <wp:inline distT="0" distB="0" distL="0" distR="0">
            <wp:extent cx="4848447" cy="2721935"/>
            <wp:effectExtent l="0" t="0" r="0" b="0"/>
            <wp:docPr id="78"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10EBF" w:rsidRPr="00271B24" w:rsidRDefault="00210EBF" w:rsidP="00210EBF">
      <w:pPr>
        <w:pStyle w:val="rdo"/>
      </w:pPr>
      <w:r w:rsidRPr="00271B24">
        <w:t>Źródło: opracowanie własne na podstawie wyników badań ankietowych.</w:t>
      </w:r>
    </w:p>
    <w:p w:rsidR="00210EBF" w:rsidRPr="003E60AB" w:rsidRDefault="00210EBF" w:rsidP="001C52B2">
      <w:pPr>
        <w:spacing w:before="60" w:after="60"/>
        <w:rPr>
          <w:rFonts w:cstheme="minorHAnsi"/>
          <w:b/>
          <w:color w:val="943634" w:themeColor="accent2" w:themeShade="BF"/>
        </w:rPr>
      </w:pPr>
    </w:p>
    <w:p w:rsidR="001C52B2" w:rsidRDefault="001C52B2" w:rsidP="001C52B2">
      <w:pPr>
        <w:spacing w:before="60" w:after="60"/>
        <w:jc w:val="center"/>
        <w:rPr>
          <w:rFonts w:cstheme="minorHAnsi"/>
          <w:b/>
          <w:color w:val="943634" w:themeColor="accent2" w:themeShade="BF"/>
        </w:rPr>
      </w:pPr>
      <w:r w:rsidRPr="003E60AB">
        <w:rPr>
          <w:rFonts w:cstheme="minorHAnsi"/>
          <w:b/>
          <w:noProof/>
          <w:color w:val="943634" w:themeColor="accent2" w:themeShade="BF"/>
        </w:rPr>
        <w:drawing>
          <wp:inline distT="0" distB="0" distL="0" distR="0">
            <wp:extent cx="4763386" cy="2551814"/>
            <wp:effectExtent l="0" t="0" r="0" b="0"/>
            <wp:docPr id="79"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210EBF" w:rsidRPr="00271B24" w:rsidRDefault="00210EBF" w:rsidP="00210EBF">
      <w:pPr>
        <w:pStyle w:val="rdo"/>
      </w:pPr>
      <w:r w:rsidRPr="00271B24">
        <w:t>Źródło: opracowanie własne na podstawie wyników badań ankietowych.</w:t>
      </w:r>
    </w:p>
    <w:p w:rsidR="00210EBF" w:rsidRPr="003E60AB" w:rsidRDefault="00210EBF" w:rsidP="001C52B2">
      <w:pPr>
        <w:spacing w:before="60" w:after="60"/>
        <w:jc w:val="center"/>
        <w:rPr>
          <w:rFonts w:cstheme="minorHAnsi"/>
          <w:b/>
          <w:color w:val="943634" w:themeColor="accent2" w:themeShade="BF"/>
        </w:rPr>
      </w:pPr>
    </w:p>
    <w:p w:rsidR="001C52B2" w:rsidRPr="003E60AB" w:rsidRDefault="001C52B2" w:rsidP="001C52B2">
      <w:pPr>
        <w:pStyle w:val="Akapitzlist"/>
        <w:numPr>
          <w:ilvl w:val="0"/>
          <w:numId w:val="47"/>
        </w:numPr>
        <w:spacing w:before="60" w:after="60" w:line="276" w:lineRule="auto"/>
        <w:ind w:left="567" w:hanging="425"/>
        <w:jc w:val="both"/>
        <w:rPr>
          <w:rFonts w:asciiTheme="minorHAnsi" w:hAnsiTheme="minorHAnsi" w:cstheme="minorHAnsi"/>
          <w:b/>
          <w:color w:val="943634" w:themeColor="accent2" w:themeShade="BF"/>
          <w:sz w:val="22"/>
          <w:szCs w:val="22"/>
        </w:rPr>
      </w:pPr>
      <w:r w:rsidRPr="003E60AB">
        <w:rPr>
          <w:rFonts w:asciiTheme="minorHAnsi" w:hAnsiTheme="minorHAnsi" w:cstheme="minorHAnsi"/>
          <w:b/>
          <w:color w:val="943634" w:themeColor="accent2" w:themeShade="BF"/>
          <w:sz w:val="22"/>
          <w:szCs w:val="22"/>
        </w:rPr>
        <w:t>Czy zgadza się Pani/Pan ze stwierdzeniem, że w gminie Pobiedziska czuje Pani/Pan więź z innymi mieszkańcami?</w:t>
      </w:r>
    </w:p>
    <w:p w:rsidR="001C52B2" w:rsidRPr="003E60AB" w:rsidRDefault="001C52B2" w:rsidP="001C52B2">
      <w:pPr>
        <w:spacing w:before="60" w:after="60"/>
        <w:jc w:val="both"/>
        <w:rPr>
          <w:rFonts w:cstheme="minorHAnsi"/>
        </w:rPr>
      </w:pPr>
      <w:r w:rsidRPr="003E60AB">
        <w:rPr>
          <w:rFonts w:cstheme="minorHAnsi"/>
        </w:rPr>
        <w:t xml:space="preserve">Mieszkańcy twierdzą, że czują więź ze współobywatelami gminy. Jest o tym przekonane w ocenie ważonej aż 88% respondentów. Płeć respondentów nie ma wpływu na opinię. Poczucie więzi ze współobywatelami jest wysokie wśród mieszkańców z wykształceniem wyższym oraz zasadniczym </w:t>
      </w:r>
      <w:r w:rsidRPr="003E60AB">
        <w:rPr>
          <w:rFonts w:cstheme="minorHAnsi"/>
        </w:rPr>
        <w:lastRenderedPageBreak/>
        <w:t xml:space="preserve">zawodowym i poniżej. Wśród grup wiekowych najwyższa ocena jest wśród osób w wieku od 40 lat. Poczucie więzi z innymi mieszkańcami jest oceniane jako bardzo ważne kryterium jakości życia we wszystkich grupach objętych badaniem. </w:t>
      </w:r>
    </w:p>
    <w:p w:rsidR="001C52B2" w:rsidRPr="003E60AB" w:rsidRDefault="001C52B2" w:rsidP="001C52B2">
      <w:pPr>
        <w:spacing w:before="60" w:after="60"/>
        <w:jc w:val="both"/>
        <w:rPr>
          <w:rFonts w:cstheme="minorHAnsi"/>
        </w:rPr>
      </w:pPr>
      <w:r w:rsidRPr="003E60AB">
        <w:rPr>
          <w:rFonts w:cstheme="minorHAnsi"/>
        </w:rPr>
        <w:t>Wnioski: Więź ze współobywatelami mieszkańcy gminy oceniają jako mocną stronę i postrzegają to kryterium jako ważne dla wyznaczenia jakości życia. Działania zaplanowane w ramach strategii powinny być nakierowane na utrzymanie stanu i dalszy wzrost oceny więzi z mieszkańcami, która może być rozumiana jako poczucie tożsamości lokalnej, jako kryterium jakości życia.</w:t>
      </w:r>
    </w:p>
    <w:p w:rsidR="001C52B2" w:rsidRPr="00210EBF" w:rsidRDefault="001C52B2" w:rsidP="00210EBF">
      <w:pPr>
        <w:spacing w:before="60" w:after="60"/>
        <w:jc w:val="both"/>
        <w:rPr>
          <w:rFonts w:cstheme="minorHAnsi"/>
        </w:rPr>
      </w:pPr>
      <w:r w:rsidRPr="003E60AB">
        <w:rPr>
          <w:rFonts w:cstheme="minorHAnsi"/>
        </w:rPr>
        <w:t>Wykresy poniżej prezentują w kolejności: 1) Rozkład odpowiedzi na pytanie, czy mieszkańcy zgadzają się z twierdzeniem, że czują więź z innymi mieszkańcami; 2) Średnia oceny, czy poczucie więzi z mieszkańcami ma znaczenie w atrakcyjności gminy jako miejsca zamieszkania.</w:t>
      </w:r>
    </w:p>
    <w:p w:rsidR="001C52B2" w:rsidRDefault="001C52B2" w:rsidP="00210EBF">
      <w:pPr>
        <w:spacing w:before="60" w:after="60"/>
        <w:rPr>
          <w:rFonts w:cstheme="minorHAnsi"/>
          <w:b/>
          <w:color w:val="943634" w:themeColor="accent2" w:themeShade="BF"/>
        </w:rPr>
      </w:pPr>
      <w:r w:rsidRPr="003E60AB">
        <w:rPr>
          <w:rFonts w:cstheme="minorHAnsi"/>
          <w:b/>
          <w:noProof/>
          <w:color w:val="943634" w:themeColor="accent2" w:themeShade="BF"/>
        </w:rPr>
        <w:drawing>
          <wp:inline distT="0" distB="0" distL="0" distR="0">
            <wp:extent cx="4933507" cy="2870791"/>
            <wp:effectExtent l="0" t="0" r="0" b="0"/>
            <wp:docPr id="80"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10EBF" w:rsidRPr="00271B24" w:rsidRDefault="00210EBF" w:rsidP="00210EBF">
      <w:pPr>
        <w:pStyle w:val="rdo"/>
      </w:pPr>
      <w:r w:rsidRPr="00271B24">
        <w:t>Źródło: opracowanie własne na podstawie wyników badań ankietowych.</w:t>
      </w:r>
    </w:p>
    <w:p w:rsidR="00210EBF" w:rsidRPr="003E60AB" w:rsidRDefault="00210EBF" w:rsidP="001C52B2">
      <w:pPr>
        <w:spacing w:before="60" w:after="60"/>
        <w:jc w:val="center"/>
        <w:rPr>
          <w:rFonts w:cstheme="minorHAnsi"/>
          <w:b/>
          <w:color w:val="943634" w:themeColor="accent2" w:themeShade="BF"/>
        </w:rPr>
      </w:pPr>
    </w:p>
    <w:p w:rsidR="001C52B2" w:rsidRDefault="001C52B2" w:rsidP="001C52B2">
      <w:pPr>
        <w:spacing w:before="60" w:after="60"/>
        <w:jc w:val="both"/>
        <w:rPr>
          <w:rFonts w:cstheme="minorHAnsi"/>
          <w:b/>
          <w:color w:val="943634" w:themeColor="accent2" w:themeShade="BF"/>
        </w:rPr>
      </w:pPr>
      <w:r w:rsidRPr="003E60AB">
        <w:rPr>
          <w:rFonts w:cstheme="minorHAnsi"/>
          <w:b/>
          <w:noProof/>
          <w:color w:val="943634" w:themeColor="accent2" w:themeShade="BF"/>
        </w:rPr>
        <w:drawing>
          <wp:inline distT="0" distB="0" distL="0" distR="0">
            <wp:extent cx="5007935" cy="2658140"/>
            <wp:effectExtent l="0" t="0" r="0" b="0"/>
            <wp:docPr id="81"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10EBF" w:rsidRPr="00271B24" w:rsidRDefault="00210EBF" w:rsidP="00210EBF">
      <w:pPr>
        <w:pStyle w:val="rdo"/>
      </w:pPr>
      <w:r w:rsidRPr="00271B24">
        <w:t>Źródło: opracowanie własne na podstawie wyników badań ankietowych.</w:t>
      </w:r>
    </w:p>
    <w:p w:rsidR="00210EBF" w:rsidRPr="003E60AB" w:rsidRDefault="00210EBF" w:rsidP="001C52B2">
      <w:pPr>
        <w:spacing w:before="60" w:after="60"/>
        <w:jc w:val="both"/>
        <w:rPr>
          <w:rFonts w:cstheme="minorHAnsi"/>
          <w:b/>
          <w:color w:val="943634" w:themeColor="accent2" w:themeShade="BF"/>
        </w:rPr>
      </w:pPr>
    </w:p>
    <w:p w:rsidR="001C52B2" w:rsidRPr="003E60AB" w:rsidRDefault="001C52B2" w:rsidP="001C52B2">
      <w:pPr>
        <w:pStyle w:val="Akapitzlist"/>
        <w:numPr>
          <w:ilvl w:val="0"/>
          <w:numId w:val="47"/>
        </w:numPr>
        <w:spacing w:before="60" w:after="60" w:line="276" w:lineRule="auto"/>
        <w:ind w:left="567" w:hanging="425"/>
        <w:jc w:val="both"/>
        <w:rPr>
          <w:rFonts w:asciiTheme="minorHAnsi" w:hAnsiTheme="minorHAnsi" w:cstheme="minorHAnsi"/>
          <w:b/>
          <w:color w:val="943634" w:themeColor="accent2" w:themeShade="BF"/>
          <w:sz w:val="22"/>
          <w:szCs w:val="22"/>
        </w:rPr>
      </w:pPr>
      <w:r w:rsidRPr="003E60AB">
        <w:rPr>
          <w:rFonts w:asciiTheme="minorHAnsi" w:hAnsiTheme="minorHAnsi" w:cstheme="minorHAnsi"/>
          <w:b/>
          <w:color w:val="943634" w:themeColor="accent2" w:themeShade="BF"/>
          <w:sz w:val="22"/>
          <w:szCs w:val="22"/>
        </w:rPr>
        <w:lastRenderedPageBreak/>
        <w:t>Czy zgadza się Pani/Pan ze stwierdzeniem, że z terenu gminy Pobiedziska łatwo jest dostać się do dużych miast?</w:t>
      </w:r>
    </w:p>
    <w:p w:rsidR="001C52B2" w:rsidRPr="003E60AB" w:rsidRDefault="001C52B2" w:rsidP="001C52B2">
      <w:pPr>
        <w:spacing w:before="60" w:after="60"/>
        <w:jc w:val="both"/>
        <w:rPr>
          <w:rFonts w:cstheme="minorHAnsi"/>
        </w:rPr>
      </w:pPr>
      <w:r w:rsidRPr="003E60AB">
        <w:rPr>
          <w:rFonts w:cstheme="minorHAnsi"/>
        </w:rPr>
        <w:t xml:space="preserve">Mieszkańcy twierdzą, że z gminy łatwo dostać się do innych dużych miast. Twierdzi tak w ocenie ważonej aż 90% mieszkańców. Przekonanie o tym wzrasta wraz ze spadkiem wykształcenia. Częściej pozytywną opinię wydają mężczyźni niż kobiety. Najmniej są o tym przekonane osoby młode. Skomunikowanie z innymi dużymi miastami jest oceniane jako ważne kryterium jakości życia. Można jednak zauważyć, że ocena wzrasta wraz ze wzrostem poziomu wykształcenia. </w:t>
      </w:r>
    </w:p>
    <w:p w:rsidR="001C52B2" w:rsidRPr="003E60AB" w:rsidRDefault="001C52B2" w:rsidP="001C52B2">
      <w:pPr>
        <w:spacing w:before="60" w:after="60"/>
        <w:jc w:val="both"/>
        <w:rPr>
          <w:rFonts w:cstheme="minorHAnsi"/>
        </w:rPr>
      </w:pPr>
      <w:r w:rsidRPr="003E60AB">
        <w:rPr>
          <w:rFonts w:cstheme="minorHAnsi"/>
        </w:rPr>
        <w:t xml:space="preserve">Wnioski: Skomunikowanie gminy jest oceniane jako mocna strona. Jest to dla mieszkańców ważne kryterium oceny, czy warto tu mieszkać. Działania zaplanowane w ramach strategii powinny zmierzać do wykorzystania tego faktu jako szansy rozwoju. Stan powinien ulegać dalszej poprawie. </w:t>
      </w:r>
    </w:p>
    <w:p w:rsidR="001C52B2" w:rsidRPr="003E60AB" w:rsidRDefault="001C52B2" w:rsidP="001C52B2">
      <w:pPr>
        <w:spacing w:before="60" w:after="60"/>
        <w:jc w:val="both"/>
        <w:rPr>
          <w:rFonts w:cstheme="minorHAnsi"/>
          <w:b/>
          <w:color w:val="943634" w:themeColor="accent2" w:themeShade="BF"/>
        </w:rPr>
      </w:pPr>
      <w:r w:rsidRPr="003E60AB">
        <w:rPr>
          <w:rFonts w:cstheme="minorHAnsi"/>
        </w:rPr>
        <w:t>Wykresy poniżej prezentują w kolejności: 1) Rozkład odpowiedzi na pytanie, czy mieszkańcy zgadzają się z twierdzeniem, że z gminy łatwo jest dostać się do dużych miast; 2) Średnia oceny, czy skomunikowanie z dużymi miastami ma znaczenie w atrakcyjności gminy jako miejsca zamieszkania.</w:t>
      </w:r>
    </w:p>
    <w:p w:rsidR="001C52B2" w:rsidRDefault="001C52B2" w:rsidP="00210EBF">
      <w:pPr>
        <w:spacing w:before="60" w:after="60"/>
        <w:jc w:val="center"/>
        <w:rPr>
          <w:rFonts w:cstheme="minorHAnsi"/>
          <w:b/>
          <w:color w:val="943634" w:themeColor="accent2" w:themeShade="BF"/>
        </w:rPr>
      </w:pPr>
      <w:r w:rsidRPr="003E60AB">
        <w:rPr>
          <w:rFonts w:cstheme="minorHAnsi"/>
          <w:b/>
          <w:noProof/>
          <w:color w:val="943634" w:themeColor="accent2" w:themeShade="BF"/>
        </w:rPr>
        <w:drawing>
          <wp:inline distT="0" distB="0" distL="0" distR="0">
            <wp:extent cx="4848447" cy="2753832"/>
            <wp:effectExtent l="0" t="0" r="0" b="0"/>
            <wp:docPr id="82"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800A5" w:rsidRPr="00271B24" w:rsidRDefault="000800A5" w:rsidP="000800A5">
      <w:pPr>
        <w:pStyle w:val="rdo"/>
      </w:pPr>
      <w:r w:rsidRPr="00271B24">
        <w:t>Źródło: opracowanie własne na podstawie wyników badań ankietowych.</w:t>
      </w:r>
    </w:p>
    <w:p w:rsidR="000800A5" w:rsidRPr="003E60AB" w:rsidRDefault="000800A5" w:rsidP="001C52B2">
      <w:pPr>
        <w:spacing w:before="60" w:after="60"/>
        <w:jc w:val="both"/>
        <w:rPr>
          <w:rFonts w:cstheme="minorHAnsi"/>
          <w:b/>
          <w:color w:val="943634" w:themeColor="accent2" w:themeShade="BF"/>
        </w:rPr>
      </w:pPr>
    </w:p>
    <w:p w:rsidR="001C52B2" w:rsidRDefault="001C52B2" w:rsidP="001C52B2">
      <w:pPr>
        <w:spacing w:before="60" w:after="60"/>
        <w:jc w:val="center"/>
        <w:rPr>
          <w:rFonts w:cstheme="minorHAnsi"/>
          <w:b/>
          <w:color w:val="943634" w:themeColor="accent2" w:themeShade="BF"/>
        </w:rPr>
      </w:pPr>
      <w:r w:rsidRPr="003E60AB">
        <w:rPr>
          <w:rFonts w:cstheme="minorHAnsi"/>
          <w:b/>
          <w:noProof/>
          <w:color w:val="943634" w:themeColor="accent2" w:themeShade="BF"/>
        </w:rPr>
        <w:drawing>
          <wp:inline distT="0" distB="0" distL="0" distR="0">
            <wp:extent cx="4880345" cy="2562446"/>
            <wp:effectExtent l="0" t="0" r="0" b="0"/>
            <wp:docPr id="83"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800A5" w:rsidRPr="00271B24" w:rsidRDefault="000800A5" w:rsidP="000800A5">
      <w:pPr>
        <w:pStyle w:val="rdo"/>
      </w:pPr>
      <w:r w:rsidRPr="00271B24">
        <w:t>Źródło: opracowanie własne na podstawie wyników badań ankietowych.</w:t>
      </w:r>
    </w:p>
    <w:p w:rsidR="001C52B2" w:rsidRPr="000800A5" w:rsidRDefault="001C52B2" w:rsidP="000800A5"/>
    <w:p w:rsidR="001C52B2" w:rsidRPr="003E60AB" w:rsidRDefault="001C52B2" w:rsidP="001C52B2">
      <w:pPr>
        <w:pStyle w:val="Akapitzlist"/>
        <w:numPr>
          <w:ilvl w:val="0"/>
          <w:numId w:val="47"/>
        </w:numPr>
        <w:spacing w:before="60" w:after="60" w:line="276" w:lineRule="auto"/>
        <w:ind w:left="567" w:hanging="425"/>
        <w:jc w:val="both"/>
        <w:rPr>
          <w:rFonts w:asciiTheme="minorHAnsi" w:hAnsiTheme="minorHAnsi" w:cstheme="minorHAnsi"/>
          <w:b/>
          <w:color w:val="943634" w:themeColor="accent2" w:themeShade="BF"/>
          <w:sz w:val="22"/>
          <w:szCs w:val="22"/>
        </w:rPr>
      </w:pPr>
      <w:r w:rsidRPr="003E60AB">
        <w:rPr>
          <w:rFonts w:asciiTheme="minorHAnsi" w:hAnsiTheme="minorHAnsi" w:cstheme="minorHAnsi"/>
          <w:b/>
          <w:color w:val="943634" w:themeColor="accent2" w:themeShade="BF"/>
          <w:sz w:val="22"/>
          <w:szCs w:val="22"/>
        </w:rPr>
        <w:t>Czy zgadza się Pani/Pan ze stwierdzeniem, że Gmina Pobiedziska jest „przyjazna” dla rodzin z małymi dziećmi, tzn. jest tu wiele placów zabaw, wystarczająco dużo żłobków lub przedszkoli?</w:t>
      </w:r>
    </w:p>
    <w:p w:rsidR="001C52B2" w:rsidRPr="003E60AB" w:rsidRDefault="001C52B2" w:rsidP="001C52B2">
      <w:pPr>
        <w:spacing w:before="60" w:after="60"/>
        <w:jc w:val="both"/>
        <w:rPr>
          <w:rFonts w:cstheme="minorHAnsi"/>
        </w:rPr>
      </w:pPr>
      <w:r w:rsidRPr="003E60AB">
        <w:rPr>
          <w:rFonts w:cstheme="minorHAnsi"/>
        </w:rPr>
        <w:t>Mieszkańcy twierdzą, że gmina jest „przyjazna” dla rodzin z małymi dziećmi, tzn. jest tu wiele placów zabaw, wystarczająco dużo żłobków lub przedszkoli. Twierdzi tak w ocenie ważonej aż 89% mieszkańców. Najmniej przekonane o tym są osoby z wyższym wykształceniem. Negatywną opinię częściej wyrażają kobiety niż mężczyźni. W grupie wiekowej rzadziej niż reprezentanci innych grup zadowolenie wyrażają osoby starsze. To, czy gmina jest przyjazna dla rodzin z małymi dziećmi nie jest oceniane jako ważne kryterium jakości życia. Osoby z wykształceniem wyższym, średnim i policealnym oraz osoby młode najbardziej doceniają to kryterium.</w:t>
      </w:r>
    </w:p>
    <w:p w:rsidR="001C52B2" w:rsidRPr="003E60AB" w:rsidRDefault="001C52B2" w:rsidP="001C52B2">
      <w:pPr>
        <w:spacing w:before="60" w:after="60"/>
        <w:jc w:val="both"/>
        <w:rPr>
          <w:rFonts w:cstheme="minorHAnsi"/>
        </w:rPr>
      </w:pPr>
      <w:r w:rsidRPr="003E60AB">
        <w:rPr>
          <w:rFonts w:cstheme="minorHAnsi"/>
        </w:rPr>
        <w:t xml:space="preserve">Wnioski: Oferta rekreacyjna i opiekuńcza dla rodzin z małymi dziećmi jest oceniana jako mocna strona gminy. Jednocześnie kryterium to nie jest uważane za bardzo istotne. W ramach strategii fakt ten powinien być odnotowany, a infrastruktura powinna ulegać poprawie. Działania nie powinny być jednak klasyfikowane jako priorytetowe. </w:t>
      </w:r>
    </w:p>
    <w:p w:rsidR="001C52B2" w:rsidRPr="00291CA0" w:rsidRDefault="001C52B2" w:rsidP="00291CA0">
      <w:pPr>
        <w:spacing w:before="60" w:after="60"/>
        <w:jc w:val="both"/>
        <w:rPr>
          <w:rFonts w:cstheme="minorHAnsi"/>
        </w:rPr>
      </w:pPr>
      <w:r w:rsidRPr="003E60AB">
        <w:rPr>
          <w:rFonts w:cstheme="minorHAnsi"/>
        </w:rPr>
        <w:t>Wykresy poniżej prezentują w kolejności: 1) Rozkład odpowiedzi na pytanie, czy mieszkańcy zgadzają się z twierdzeniem, że gmina jest „przyjazne” dla rodzin z małymi dziećmi, tzn. jest tu wiele placów zabaw, wystarczająco dużo żłobków lub przedszkoli; 2) Średnia oceny, czy to, że gmina jest przyjazne dla rodzin z małymi dziećmi, ma znaczenie w atrakcyjności gminy jako miejsca zamieszkania.</w:t>
      </w:r>
    </w:p>
    <w:p w:rsidR="001C52B2" w:rsidRDefault="001C52B2" w:rsidP="001C52B2">
      <w:pPr>
        <w:spacing w:before="60" w:after="60"/>
        <w:rPr>
          <w:rFonts w:cstheme="minorHAnsi"/>
          <w:b/>
          <w:color w:val="943634" w:themeColor="accent2" w:themeShade="BF"/>
        </w:rPr>
      </w:pPr>
      <w:r w:rsidRPr="003E60AB">
        <w:rPr>
          <w:rFonts w:cstheme="minorHAnsi"/>
          <w:b/>
          <w:noProof/>
          <w:color w:val="943634" w:themeColor="accent2" w:themeShade="BF"/>
        </w:rPr>
        <w:drawing>
          <wp:inline distT="0" distB="0" distL="0" distR="0">
            <wp:extent cx="4901610" cy="2902689"/>
            <wp:effectExtent l="0" t="0" r="0" b="0"/>
            <wp:docPr id="84"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918E5" w:rsidRPr="00271B24" w:rsidRDefault="003918E5" w:rsidP="003918E5">
      <w:pPr>
        <w:pStyle w:val="rdo"/>
      </w:pPr>
      <w:r w:rsidRPr="00271B24">
        <w:t>Źródło: opracowanie własne na podstawie wyników badań ankietowych.</w:t>
      </w:r>
    </w:p>
    <w:p w:rsidR="003918E5" w:rsidRPr="003E60AB" w:rsidRDefault="003918E5" w:rsidP="001C52B2">
      <w:pPr>
        <w:spacing w:before="60" w:after="60"/>
        <w:rPr>
          <w:rFonts w:cstheme="minorHAnsi"/>
          <w:b/>
          <w:color w:val="943634" w:themeColor="accent2" w:themeShade="BF"/>
        </w:rPr>
      </w:pPr>
    </w:p>
    <w:p w:rsidR="001C52B2" w:rsidRDefault="001C52B2" w:rsidP="001C52B2">
      <w:pPr>
        <w:spacing w:before="60" w:after="60"/>
        <w:rPr>
          <w:rFonts w:cstheme="minorHAnsi"/>
          <w:b/>
          <w:color w:val="943634" w:themeColor="accent2" w:themeShade="BF"/>
        </w:rPr>
      </w:pPr>
      <w:r w:rsidRPr="003E60AB">
        <w:rPr>
          <w:rFonts w:cstheme="minorHAnsi"/>
          <w:b/>
          <w:noProof/>
          <w:color w:val="943634" w:themeColor="accent2" w:themeShade="BF"/>
        </w:rPr>
        <w:lastRenderedPageBreak/>
        <w:drawing>
          <wp:inline distT="0" distB="0" distL="0" distR="0">
            <wp:extent cx="4901610" cy="2796362"/>
            <wp:effectExtent l="0" t="0" r="0" b="0"/>
            <wp:docPr id="85"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918E5" w:rsidRDefault="003918E5" w:rsidP="003918E5">
      <w:pPr>
        <w:pStyle w:val="rdo"/>
      </w:pPr>
      <w:r w:rsidRPr="00271B24">
        <w:t>Źródło: opracowanie własne na podstawie wyników badań ankietowych.</w:t>
      </w:r>
    </w:p>
    <w:p w:rsidR="00291CA0" w:rsidRPr="003918E5" w:rsidRDefault="00291CA0" w:rsidP="003918E5">
      <w:pPr>
        <w:pStyle w:val="rdo"/>
      </w:pPr>
    </w:p>
    <w:p w:rsidR="001C52B2" w:rsidRPr="00A9025D" w:rsidRDefault="001C52B2" w:rsidP="001C52B2">
      <w:pPr>
        <w:pStyle w:val="Akapitzlist"/>
        <w:numPr>
          <w:ilvl w:val="0"/>
          <w:numId w:val="48"/>
        </w:numPr>
        <w:spacing w:before="60" w:after="60" w:line="276" w:lineRule="auto"/>
        <w:ind w:left="567" w:hanging="425"/>
        <w:rPr>
          <w:rFonts w:asciiTheme="minorHAnsi" w:hAnsiTheme="minorHAnsi" w:cstheme="minorHAnsi"/>
          <w:b/>
          <w:color w:val="943634" w:themeColor="accent2" w:themeShade="BF"/>
          <w:sz w:val="22"/>
          <w:szCs w:val="22"/>
        </w:rPr>
      </w:pPr>
      <w:r w:rsidRPr="00A9025D">
        <w:rPr>
          <w:rFonts w:asciiTheme="minorHAnsi" w:hAnsiTheme="minorHAnsi" w:cstheme="minorHAnsi"/>
          <w:b/>
          <w:color w:val="943634" w:themeColor="accent2" w:themeShade="BF"/>
          <w:sz w:val="22"/>
          <w:szCs w:val="22"/>
        </w:rPr>
        <w:t>Jaka powinna być gmina Pobiedziska?</w:t>
      </w:r>
    </w:p>
    <w:p w:rsidR="001C52B2" w:rsidRPr="00FF7040" w:rsidRDefault="001C52B2" w:rsidP="001C52B2">
      <w:pPr>
        <w:pStyle w:val="Akapitzlist"/>
        <w:numPr>
          <w:ilvl w:val="0"/>
          <w:numId w:val="49"/>
        </w:numPr>
        <w:spacing w:before="60" w:after="60" w:line="276" w:lineRule="auto"/>
        <w:ind w:left="851" w:hanging="284"/>
        <w:jc w:val="both"/>
        <w:rPr>
          <w:rFonts w:asciiTheme="minorHAnsi" w:hAnsiTheme="minorHAnsi" w:cstheme="minorHAnsi"/>
          <w:b/>
          <w:color w:val="943634" w:themeColor="accent2" w:themeShade="BF"/>
          <w:sz w:val="22"/>
          <w:szCs w:val="22"/>
        </w:rPr>
      </w:pPr>
      <w:r w:rsidRPr="00A9025D">
        <w:rPr>
          <w:rFonts w:asciiTheme="minorHAnsi" w:hAnsiTheme="minorHAnsi" w:cstheme="minorHAnsi"/>
          <w:sz w:val="22"/>
          <w:szCs w:val="22"/>
        </w:rPr>
        <w:t>silny</w:t>
      </w:r>
      <w:r>
        <w:rPr>
          <w:rFonts w:asciiTheme="minorHAnsi" w:hAnsiTheme="minorHAnsi" w:cstheme="minorHAnsi"/>
          <w:sz w:val="22"/>
          <w:szCs w:val="22"/>
        </w:rPr>
        <w:t>m ośrod</w:t>
      </w:r>
      <w:r w:rsidRPr="00A9025D">
        <w:rPr>
          <w:rFonts w:asciiTheme="minorHAnsi" w:hAnsiTheme="minorHAnsi" w:cstheme="minorHAnsi"/>
          <w:sz w:val="22"/>
          <w:szCs w:val="22"/>
        </w:rPr>
        <w:t>k</w:t>
      </w:r>
      <w:r>
        <w:rPr>
          <w:rFonts w:asciiTheme="minorHAnsi" w:hAnsiTheme="minorHAnsi" w:cstheme="minorHAnsi"/>
          <w:sz w:val="22"/>
          <w:szCs w:val="22"/>
        </w:rPr>
        <w:t>iem</w:t>
      </w:r>
      <w:r w:rsidRPr="00A9025D">
        <w:rPr>
          <w:rFonts w:asciiTheme="minorHAnsi" w:hAnsiTheme="minorHAnsi" w:cstheme="minorHAnsi"/>
          <w:sz w:val="22"/>
          <w:szCs w:val="22"/>
        </w:rPr>
        <w:t xml:space="preserve"> gospodarczy</w:t>
      </w:r>
      <w:r>
        <w:rPr>
          <w:rFonts w:asciiTheme="minorHAnsi" w:hAnsiTheme="minorHAnsi" w:cstheme="minorHAnsi"/>
          <w:sz w:val="22"/>
          <w:szCs w:val="22"/>
        </w:rPr>
        <w:t>m</w:t>
      </w:r>
      <w:r w:rsidRPr="00A9025D">
        <w:rPr>
          <w:rFonts w:asciiTheme="minorHAnsi" w:hAnsiTheme="minorHAnsi" w:cstheme="minorHAnsi"/>
          <w:sz w:val="22"/>
          <w:szCs w:val="22"/>
        </w:rPr>
        <w:t xml:space="preserve"> z dobrze rozwijającymi się przedsiębiorstwami produkcyjnymi, logistycznymi i usługowymi</w:t>
      </w:r>
      <w:r>
        <w:rPr>
          <w:rFonts w:asciiTheme="minorHAnsi" w:hAnsiTheme="minorHAnsi" w:cstheme="minorHAnsi"/>
          <w:sz w:val="22"/>
          <w:szCs w:val="22"/>
        </w:rPr>
        <w:t>,</w:t>
      </w:r>
    </w:p>
    <w:p w:rsidR="001C52B2" w:rsidRPr="00FF7040" w:rsidRDefault="001C52B2" w:rsidP="001C52B2">
      <w:pPr>
        <w:pStyle w:val="Akapitzlist"/>
        <w:numPr>
          <w:ilvl w:val="0"/>
          <w:numId w:val="49"/>
        </w:numPr>
        <w:spacing w:before="60" w:after="60" w:line="276" w:lineRule="auto"/>
        <w:ind w:left="851" w:hanging="284"/>
        <w:jc w:val="both"/>
        <w:rPr>
          <w:rFonts w:asciiTheme="minorHAnsi" w:hAnsiTheme="minorHAnsi" w:cstheme="minorHAnsi"/>
          <w:b/>
          <w:color w:val="943634" w:themeColor="accent2" w:themeShade="BF"/>
          <w:sz w:val="22"/>
          <w:szCs w:val="22"/>
        </w:rPr>
      </w:pPr>
      <w:r w:rsidRPr="00FF7040">
        <w:rPr>
          <w:rFonts w:asciiTheme="minorHAnsi" w:hAnsiTheme="minorHAnsi" w:cstheme="minorHAnsi"/>
          <w:sz w:val="22"/>
          <w:szCs w:val="22"/>
        </w:rPr>
        <w:t>miejscem, które przyciąga nowych mieszkańców atrakcyjnymi warunkami do zamieszkania w spokoju, pośród zieleni, bez uciążliwych zakładów i ruchu,</w:t>
      </w:r>
    </w:p>
    <w:p w:rsidR="001C52B2" w:rsidRPr="00FF7040" w:rsidRDefault="001C52B2" w:rsidP="001C52B2">
      <w:pPr>
        <w:pStyle w:val="Akapitzlist"/>
        <w:numPr>
          <w:ilvl w:val="0"/>
          <w:numId w:val="49"/>
        </w:numPr>
        <w:spacing w:before="60" w:after="60" w:line="276" w:lineRule="auto"/>
        <w:ind w:left="851" w:hanging="284"/>
        <w:jc w:val="both"/>
        <w:rPr>
          <w:rFonts w:asciiTheme="minorHAnsi" w:hAnsiTheme="minorHAnsi" w:cstheme="minorHAnsi"/>
          <w:b/>
          <w:color w:val="943634" w:themeColor="accent2" w:themeShade="BF"/>
          <w:sz w:val="22"/>
          <w:szCs w:val="22"/>
        </w:rPr>
      </w:pPr>
      <w:r w:rsidRPr="00FF7040">
        <w:rPr>
          <w:rFonts w:asciiTheme="minorHAnsi" w:hAnsiTheme="minorHAnsi" w:cstheme="minorHAnsi"/>
          <w:sz w:val="22"/>
          <w:szCs w:val="22"/>
        </w:rPr>
        <w:t>ośrodkiem sportu i rekreacji, turystyki i kultury, z bogatą bazą i infrastrukturą oraz dobrze wypromowanymi imprezami sportowo-rekreacyjnymi i kulturalnymi,</w:t>
      </w:r>
    </w:p>
    <w:p w:rsidR="001C52B2" w:rsidRPr="00FF7040" w:rsidRDefault="001C52B2" w:rsidP="001C52B2">
      <w:pPr>
        <w:pStyle w:val="Akapitzlist"/>
        <w:numPr>
          <w:ilvl w:val="0"/>
          <w:numId w:val="49"/>
        </w:numPr>
        <w:spacing w:before="60" w:after="60" w:line="276" w:lineRule="auto"/>
        <w:ind w:left="851" w:hanging="284"/>
        <w:jc w:val="both"/>
        <w:rPr>
          <w:rFonts w:asciiTheme="minorHAnsi" w:hAnsiTheme="minorHAnsi" w:cstheme="minorHAnsi"/>
          <w:b/>
          <w:color w:val="943634" w:themeColor="accent2" w:themeShade="BF"/>
          <w:sz w:val="22"/>
          <w:szCs w:val="22"/>
        </w:rPr>
      </w:pPr>
      <w:r w:rsidRPr="00FF7040">
        <w:rPr>
          <w:rFonts w:asciiTheme="minorHAnsi" w:hAnsiTheme="minorHAnsi" w:cstheme="minorHAnsi"/>
          <w:sz w:val="22"/>
          <w:szCs w:val="22"/>
        </w:rPr>
        <w:t>utrzymująca status quo (bez zmian), nienastawiona na zbyt dynamiczny rozwój w jakimkolwiek kierunku, najwyżej poprawiająca warunki życia obecnych mieszkańców,</w:t>
      </w:r>
    </w:p>
    <w:p w:rsidR="001C52B2" w:rsidRPr="00FF7040" w:rsidRDefault="001C52B2" w:rsidP="001C52B2">
      <w:pPr>
        <w:pStyle w:val="Akapitzlist"/>
        <w:numPr>
          <w:ilvl w:val="0"/>
          <w:numId w:val="49"/>
        </w:numPr>
        <w:spacing w:before="60" w:after="60" w:line="276" w:lineRule="auto"/>
        <w:ind w:left="851" w:hanging="284"/>
        <w:jc w:val="both"/>
        <w:rPr>
          <w:rFonts w:asciiTheme="minorHAnsi" w:hAnsiTheme="minorHAnsi" w:cstheme="minorHAnsi"/>
          <w:b/>
          <w:color w:val="943634" w:themeColor="accent2" w:themeShade="BF"/>
          <w:sz w:val="22"/>
          <w:szCs w:val="22"/>
        </w:rPr>
      </w:pPr>
      <w:r w:rsidRPr="00FF7040">
        <w:rPr>
          <w:rFonts w:asciiTheme="minorHAnsi" w:hAnsiTheme="minorHAnsi" w:cstheme="minorHAnsi"/>
          <w:sz w:val="22"/>
          <w:szCs w:val="22"/>
        </w:rPr>
        <w:t>obszarem dynamicznie rozwijającego się rolnictwa, w tym także ekologicznego.</w:t>
      </w:r>
    </w:p>
    <w:p w:rsidR="001C52B2" w:rsidRDefault="001C52B2" w:rsidP="001C52B2">
      <w:pPr>
        <w:spacing w:before="60" w:after="60"/>
        <w:jc w:val="both"/>
        <w:rPr>
          <w:rFonts w:cstheme="minorHAnsi"/>
        </w:rPr>
      </w:pPr>
    </w:p>
    <w:p w:rsidR="001C52B2" w:rsidRPr="001C52B2" w:rsidRDefault="001C52B2" w:rsidP="001C52B2">
      <w:pPr>
        <w:spacing w:before="60" w:after="60"/>
        <w:jc w:val="both"/>
        <w:rPr>
          <w:rFonts w:cstheme="minorHAnsi"/>
        </w:rPr>
      </w:pPr>
      <w:r w:rsidRPr="00FF7040">
        <w:rPr>
          <w:rFonts w:cstheme="minorHAnsi"/>
        </w:rPr>
        <w:t>Zdaniem mieszkańców</w:t>
      </w:r>
      <w:r>
        <w:rPr>
          <w:rFonts w:cstheme="minorHAnsi"/>
        </w:rPr>
        <w:t xml:space="preserve"> gmina Pobiedziska powinna w przyszłości stać się ośrodkiem sportu i rekreacji, turystyki i kultury, z bogatą bazą i infrastrukturą oraz dobrze wypromowanymi imprezami rekreacyjnymi i kulturalnymi. Mieszkańcy nie wykluczają również wizerunku gminy jako silnego ośrodka gospodarczego czy spokojnego miejsca zamieszkania. Co ważne, mieszkańcy zgodnie podchodzą niechętnie do utrzymania obecnej sytuacji, pragną zmian, rozwoju. Wyniki są podobne w przypadku kobiet i mężczyzn. Co ciekawe, osoby z wyższym wykształceniem bardziej skłaniają się do kreowania gminy Pobiedziska jako silnego ośrodka gospodarczego oraz obszaru dynamicznie rozwijającego się rolnictwa. Wyniki w pozostałych grupach różnią się nieznacznie, wskazując na trzy wyżej wskazane kierunki rozwoju.</w:t>
      </w:r>
    </w:p>
    <w:p w:rsidR="001C52B2" w:rsidRPr="003E60AB" w:rsidRDefault="001C52B2" w:rsidP="001C52B2">
      <w:pPr>
        <w:spacing w:before="60" w:after="60"/>
        <w:rPr>
          <w:rFonts w:cstheme="minorHAnsi"/>
          <w:b/>
          <w:color w:val="943634" w:themeColor="accent2" w:themeShade="BF"/>
        </w:rPr>
      </w:pPr>
      <w:r w:rsidRPr="003E60AB">
        <w:rPr>
          <w:rFonts w:cstheme="minorHAnsi"/>
          <w:b/>
          <w:noProof/>
          <w:color w:val="943634" w:themeColor="accent2" w:themeShade="BF"/>
        </w:rPr>
        <w:lastRenderedPageBreak/>
        <w:drawing>
          <wp:inline distT="0" distB="0" distL="0" distR="0">
            <wp:extent cx="5760720" cy="3764740"/>
            <wp:effectExtent l="0" t="0" r="0" b="0"/>
            <wp:docPr id="86"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918E5" w:rsidRPr="00271B24" w:rsidRDefault="003918E5" w:rsidP="003918E5">
      <w:pPr>
        <w:pStyle w:val="rdo"/>
      </w:pPr>
      <w:r w:rsidRPr="00271B24">
        <w:t>Źródło: opracowanie własne na podstawie wyników badań ankietowych.</w:t>
      </w:r>
    </w:p>
    <w:p w:rsidR="00535843" w:rsidRDefault="00535843" w:rsidP="00632F8F">
      <w:pPr>
        <w:jc w:val="both"/>
      </w:pPr>
    </w:p>
    <w:p w:rsidR="001C52B2" w:rsidRPr="001555C4" w:rsidRDefault="001555C4" w:rsidP="001555C4">
      <w:pPr>
        <w:pStyle w:val="Nagwek2"/>
        <w:rPr>
          <w:rFonts w:asciiTheme="minorHAnsi" w:hAnsiTheme="minorHAnsi"/>
          <w:color w:val="632423" w:themeColor="accent2" w:themeShade="80"/>
        </w:rPr>
      </w:pPr>
      <w:bookmarkStart w:id="36" w:name="_Toc321135351"/>
      <w:r w:rsidRPr="001555C4">
        <w:rPr>
          <w:rFonts w:asciiTheme="minorHAnsi" w:hAnsiTheme="minorHAnsi"/>
          <w:color w:val="632423" w:themeColor="accent2" w:themeShade="80"/>
        </w:rPr>
        <w:t>9.3 Pobiedziska okiem mieszkańców Poznania</w:t>
      </w:r>
      <w:bookmarkEnd w:id="36"/>
    </w:p>
    <w:p w:rsidR="00D21AF7" w:rsidRDefault="00D21AF7" w:rsidP="00D21AF7">
      <w:pPr>
        <w:jc w:val="both"/>
      </w:pPr>
      <w:r>
        <w:t>Badanie przeprowadzono na próbie 100 mieszkańców Poznania w wieku 25-55 lat oraz w podziale na wykształcenie poniżej wyższego i wyższe, a także w podziale na płeć respondentów. Rozkład ankietowanych według wieku oraz płci jest niemal równy. Osoby z wykształceniem poniżej wyższego stanowiły 73%, a z wyższym 27%. Struktura badanych odpowiada strukturze mieszkańców Poznania.</w:t>
      </w:r>
    </w:p>
    <w:p w:rsidR="00D21AF7" w:rsidRPr="00291CA0" w:rsidRDefault="00291CA0" w:rsidP="00291CA0">
      <w:pPr>
        <w:pStyle w:val="Legenda"/>
        <w:spacing w:after="0"/>
        <w:rPr>
          <w:b w:val="0"/>
          <w:color w:val="auto"/>
          <w:sz w:val="20"/>
        </w:rPr>
      </w:pPr>
      <w:r w:rsidRPr="00291CA0">
        <w:rPr>
          <w:b w:val="0"/>
          <w:color w:val="auto"/>
          <w:sz w:val="20"/>
        </w:rPr>
        <w:t xml:space="preserve">Wykres </w:t>
      </w:r>
      <w:r w:rsidRPr="00291CA0">
        <w:rPr>
          <w:b w:val="0"/>
          <w:color w:val="auto"/>
          <w:sz w:val="20"/>
        </w:rPr>
        <w:fldChar w:fldCharType="begin"/>
      </w:r>
      <w:r w:rsidRPr="00291CA0">
        <w:rPr>
          <w:b w:val="0"/>
          <w:color w:val="auto"/>
          <w:sz w:val="20"/>
        </w:rPr>
        <w:instrText xml:space="preserve"> SEQ Wykres \* ARABIC </w:instrText>
      </w:r>
      <w:r w:rsidRPr="00291CA0">
        <w:rPr>
          <w:b w:val="0"/>
          <w:color w:val="auto"/>
          <w:sz w:val="20"/>
        </w:rPr>
        <w:fldChar w:fldCharType="separate"/>
      </w:r>
      <w:r w:rsidR="00D540D9">
        <w:rPr>
          <w:b w:val="0"/>
          <w:noProof/>
          <w:color w:val="auto"/>
          <w:sz w:val="20"/>
        </w:rPr>
        <w:t>35</w:t>
      </w:r>
      <w:r w:rsidRPr="00291CA0">
        <w:rPr>
          <w:b w:val="0"/>
          <w:color w:val="auto"/>
          <w:sz w:val="20"/>
        </w:rPr>
        <w:fldChar w:fldCharType="end"/>
      </w:r>
      <w:r w:rsidRPr="00291CA0">
        <w:rPr>
          <w:b w:val="0"/>
          <w:color w:val="auto"/>
          <w:sz w:val="20"/>
        </w:rPr>
        <w:t xml:space="preserve">. </w:t>
      </w:r>
      <w:r w:rsidR="00D21AF7" w:rsidRPr="00291CA0">
        <w:rPr>
          <w:b w:val="0"/>
          <w:color w:val="auto"/>
          <w:sz w:val="20"/>
        </w:rPr>
        <w:t>Próba badawcza</w:t>
      </w:r>
    </w:p>
    <w:p w:rsidR="00D21AF7" w:rsidRDefault="00D21AF7" w:rsidP="00291CA0">
      <w:pPr>
        <w:spacing w:after="0"/>
      </w:pPr>
      <w:r w:rsidRPr="00011B9F">
        <w:rPr>
          <w:noProof/>
        </w:rPr>
        <w:drawing>
          <wp:inline distT="0" distB="0" distL="0" distR="0">
            <wp:extent cx="5764265" cy="2987749"/>
            <wp:effectExtent l="0" t="0" r="0" b="0"/>
            <wp:docPr id="8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21AF7" w:rsidRPr="00271B24" w:rsidRDefault="00D21AF7" w:rsidP="00D21AF7">
      <w:pPr>
        <w:pStyle w:val="rdo"/>
      </w:pPr>
      <w:r w:rsidRPr="00271B24">
        <w:t>Źródło: opracowanie własne na podstawie wyników badań ankietowych.</w:t>
      </w:r>
    </w:p>
    <w:p w:rsidR="00D21AF7" w:rsidRDefault="00D21AF7" w:rsidP="00D21AF7"/>
    <w:p w:rsidR="00D21AF7" w:rsidRDefault="00D21AF7" w:rsidP="00D21AF7">
      <w:pPr>
        <w:jc w:val="both"/>
      </w:pPr>
      <w:r>
        <w:t>Jak wynika z przeprowadzonych na potrzeby opracowania Strategii badań ankietowych wśród mieszkańców Poznania Pobiedziska należą do gmin stosunkowo dobrze rozpoznawalnych. Wraz z gminą Czerwonak Pobiedziska plasują się na szóstej pozycji pośród gmin około poznańskich (gmin powiatu poznańskiego). Najlepiej rozpoznawane są gminy Swarzędz, Luboń, Puszczykowo, Suchy Las oraz Tarnowo Podgórne. Respondenci deklarowali, że najmniej znają Kostrzyn, Buk, Kleszczewo. Lepiej Pobiedziska są rozpoznawane w grupie ankietowych posiadających wyższe wykształcenie (4 miejsce wraz z Suchym Lasem). Wśród osób nieposiadających wyższego wykształcenia znajomość gminy Pobiedziska nie jest zbyt wysoka, gmina plasuje się na dziewiątej pozycji. Osoby w wieku do 39 lat odpowiadały podobnie jak ogółem respondenci, natomiast mieszkańcy w wieku 40 lat i powyżej nieznacznie lepiej niż Pobiedziska rozpoznają Kórnik i Mosinę. Rozpoznawalność gminy Pobiedziska nie jest zróżnicowana ze względu na płeć respondentów. Można jedynie zauważyć, że mężczyźni zdecydowanie najlepiej znają Swarzędz, a kobiety Luboń i Puszczykowo. Generalnie należy stwierdzić, że znajomość gmin podpoznańskich nie jest szczególnie zróżnicowana ze względu na płeć, wiek, czy wykształcenie mieszkańców stolicy Wielkopolski.</w:t>
      </w:r>
    </w:p>
    <w:p w:rsidR="00D21AF7" w:rsidRDefault="00D21AF7" w:rsidP="00D21AF7">
      <w:pPr>
        <w:jc w:val="both"/>
      </w:pPr>
      <w:r>
        <w:t>Z przeprowadzonego badania w zakresie znajomości gmin otaczających Poznań wynika, że Pobiedziska to gmina, której przynajmniej nazwa jest znana poznaniakom. Wniosek ten może być szczególnie istotny w budowaniu strategii promocji gminy. Należy jednak zwrócić uwagę na stopień znajomości Pobiedzisk niezależnie od porównania z innymi gminami, który również był przedmiotem badania. Ogólnie jest on bardzo niski. Mieszkańcy Poznania deklarują w skali 1-10, gdzie 1 oznacza „nic nie wiem”, a 10 „wiem bardzo dużo”, że swoją wiedzę na temat gminy Pobiedziska oceniają na niespełna 3 (dokładnie 2,97). Można zatem stwierdzić, że choć nazwa gminy jest stosunkowo dobrze ukształtowana w świadomości poznaniaków, to nie wiele więcej o Pobiedziskach mogliby powiedzieć. Oceny powyżej 4 należą do rzadkości, niemal 30% ankietowanych odpowiedziało jednoznacznie, że o Pobiedziskach nie wie nic. Niewiele ponad średnią 3,00 znajomość gminy oceniają osoby poniżej 40 roku życia oraz mężczyźni. Osoby wieku 40-55 lat swoją wiedzę na temat Pobiedzisk oceniają zaledwie na średnio 2,67.</w:t>
      </w:r>
    </w:p>
    <w:p w:rsidR="00D21AF7" w:rsidRDefault="00D21AF7" w:rsidP="00D21AF7">
      <w:pPr>
        <w:jc w:val="both"/>
      </w:pPr>
      <w:r>
        <w:t xml:space="preserve"> W promocji Pobiedzisk, w każdym razie wśród mieszkańców Poznania, należy skupić się na wylansowaniu wybranych walorów gminy. Wizerunku Pobiedzisk być może nie trzeba budować od podstaw, jednak należy przypuszczać, że bardzo nisko oceniana wiedza na temat gminy przekłada się na to, że poznaniacy poszukujący miejsc do wypoczynku, czy rekreacji oraz miejsca zamieszkania, nie będą w ogóle potrafili pozycjonować jej oferty. Ci respondenci, którzy ocenili wiedzę na temat Pobiedzisk na przynajmniej 4, zostali dodatkowo zapytani o ocenę atrakcyjności gminy jako miejsca do zamieszkania oraz jako miejsce do uprawiania turystyki, sportu i rekreacji. Ocena 1 oznaczała „zupełnie (gmina) nieatrakcyjna”, a 10 „bardzo atrakcyjna”. Z przeprowadzonych badań wynika, że Pobiedziska jako miejsce do zamieszkania są oceniane na nieco powyżej 5 (dokładnie 5,21), natomiast jako miejsce do uprawiania turystyki, sportu i rekreacji stosunkowo wysoko, bo na ponad 7 (dokładnie 7,24). Uwzględniając generalnie niską samoocenę wiedzy respondentów na temat gminy, można stwierdzić, że wizerunek Pobiedzisk kształtują bardziej tereny rekreacyjne, atrakcyjne turystycznie i predestynowane do uprawiania sportu niż tereny atrakcyjne do osiedlania się. Jest to jednak ogólnie pojęty wizerunek ukształtowany w świadomości poznaniaków, a nie odzwierciedlenie głębszej znajomości walorów gminy.</w:t>
      </w:r>
    </w:p>
    <w:p w:rsidR="00D21AF7" w:rsidRDefault="00D21AF7" w:rsidP="00D21AF7">
      <w:pPr>
        <w:jc w:val="both"/>
      </w:pPr>
      <w:r>
        <w:lastRenderedPageBreak/>
        <w:t>Na wykresie poniżej zaprezentowano wyniki badania znajomości wśród mieszkańców Poznania Pobiedzisk i innych gmin. Respondenci mogli wskazać maksymalnie trzy gminy, które znają najlepiej.</w:t>
      </w:r>
    </w:p>
    <w:p w:rsidR="00D21AF7" w:rsidRPr="00291CA0" w:rsidRDefault="00291CA0" w:rsidP="00291CA0">
      <w:pPr>
        <w:pStyle w:val="Legenda"/>
        <w:spacing w:after="0"/>
        <w:rPr>
          <w:b w:val="0"/>
          <w:color w:val="auto"/>
          <w:sz w:val="20"/>
        </w:rPr>
      </w:pPr>
      <w:r w:rsidRPr="00291CA0">
        <w:rPr>
          <w:b w:val="0"/>
          <w:color w:val="auto"/>
          <w:sz w:val="20"/>
        </w:rPr>
        <w:t xml:space="preserve">Wykres </w:t>
      </w:r>
      <w:r w:rsidRPr="00291CA0">
        <w:rPr>
          <w:b w:val="0"/>
          <w:color w:val="auto"/>
          <w:sz w:val="20"/>
        </w:rPr>
        <w:fldChar w:fldCharType="begin"/>
      </w:r>
      <w:r w:rsidRPr="00291CA0">
        <w:rPr>
          <w:b w:val="0"/>
          <w:color w:val="auto"/>
          <w:sz w:val="20"/>
        </w:rPr>
        <w:instrText xml:space="preserve"> SEQ Wykres \* ARABIC </w:instrText>
      </w:r>
      <w:r w:rsidRPr="00291CA0">
        <w:rPr>
          <w:b w:val="0"/>
          <w:color w:val="auto"/>
          <w:sz w:val="20"/>
        </w:rPr>
        <w:fldChar w:fldCharType="separate"/>
      </w:r>
      <w:r w:rsidR="00D540D9">
        <w:rPr>
          <w:b w:val="0"/>
          <w:noProof/>
          <w:color w:val="auto"/>
          <w:sz w:val="20"/>
        </w:rPr>
        <w:t>36</w:t>
      </w:r>
      <w:r w:rsidRPr="00291CA0">
        <w:rPr>
          <w:b w:val="0"/>
          <w:color w:val="auto"/>
          <w:sz w:val="20"/>
        </w:rPr>
        <w:fldChar w:fldCharType="end"/>
      </w:r>
      <w:r w:rsidRPr="00291CA0">
        <w:rPr>
          <w:b w:val="0"/>
          <w:color w:val="auto"/>
          <w:sz w:val="20"/>
        </w:rPr>
        <w:t xml:space="preserve">. </w:t>
      </w:r>
      <w:r w:rsidR="00D21AF7" w:rsidRPr="00291CA0">
        <w:rPr>
          <w:b w:val="0"/>
          <w:color w:val="auto"/>
          <w:sz w:val="20"/>
        </w:rPr>
        <w:t>Którą z gmin wokół Poznania zna Pani/Pan najlepiej?</w:t>
      </w:r>
    </w:p>
    <w:p w:rsidR="00D21AF7" w:rsidRDefault="00D21AF7" w:rsidP="00291CA0">
      <w:pPr>
        <w:spacing w:after="0"/>
      </w:pPr>
      <w:r w:rsidRPr="00011B9F">
        <w:rPr>
          <w:noProof/>
        </w:rPr>
        <w:drawing>
          <wp:inline distT="0" distB="0" distL="0" distR="0">
            <wp:extent cx="5680002" cy="3009014"/>
            <wp:effectExtent l="0" t="0" r="0" b="0"/>
            <wp:docPr id="88"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21AF7" w:rsidRPr="00271B24" w:rsidRDefault="00D21AF7" w:rsidP="00D21AF7">
      <w:pPr>
        <w:pStyle w:val="rdo"/>
      </w:pPr>
      <w:r w:rsidRPr="00271B24">
        <w:t>Źródło: opracowanie własne na podstawie wyników badań ankietowych.</w:t>
      </w:r>
    </w:p>
    <w:p w:rsidR="00D21AF7" w:rsidRDefault="00D21AF7" w:rsidP="00D21AF7">
      <w:pPr>
        <w:jc w:val="both"/>
      </w:pPr>
    </w:p>
    <w:p w:rsidR="00D21AF7" w:rsidRDefault="00D21AF7" w:rsidP="00D21AF7">
      <w:pPr>
        <w:jc w:val="both"/>
      </w:pPr>
      <w:r>
        <w:t>Pobiedziska jako gmina miejsko-wiejska położona około 30 km od Poznania jest potencjalnie przedmiotem zainteresowania poznaniaków ze względu na miejsce do osiedlenia oraz miejsce do uprawiania weekendowej turystyki, rekreacji i sportu. Zweryfikowanie tej tezy z jednej strony będzie wymagało przeprowadzenia badania wśród mieszkańców stolicy Wielkopolski wyznaczającego kryteria atrakcyjności pod każdym z wymienionych względów, z drugiej strony weryfikacji w ramach diagnozy stanu spełniania przez Pobiedziska wyznaczonych kryteriów.</w:t>
      </w:r>
    </w:p>
    <w:p w:rsidR="00D21AF7" w:rsidRDefault="00D21AF7" w:rsidP="00D21AF7">
      <w:pPr>
        <w:jc w:val="both"/>
      </w:pPr>
      <w:r>
        <w:t>Ofertą Pobiedzisk oczywiście nie są zainteresowani wyłącznie mieszkańcy Poznania, zbadano jednak tę grupę, ponieważ stanowi największy rynek docelowy dla każdej z okolicznych gmin. Potwierdzają to badania, z których wynika, że ponad 50% poznaniaków w wieku 25-55 lat chciałoby się kiedyś przeprowadzić do jakiejś miejscowości pod Poznaniem. Aż 46% jest o tym zdecydowanie przekonana i tylko 4% na pytanie o ewentualną przeprowadzkę odpowiada, że zdecydowanie nie jest tym zainteresowane. Należy jednocześnie zauważyć, że blisko 30% respondentów nie potrafiło powiedzieć, czy chciałoby zamieszkać w miejscowości pod Poznaniem, a zatem grupa zainteresowanych przeprowadzką może być jeszcze większa. Ta generalnie zła informacja dla władz Poznania, powinna być poważnie brana pod uwagę w strategiach wszystkich gmin powiatu poznańskiego. Szczególnie zainteresowani zamieszkaniem pod Poznaniem są osoby młode (poniżej 40 lat) z wyższym wykształceniem.</w:t>
      </w:r>
    </w:p>
    <w:p w:rsidR="00D21AF7" w:rsidRDefault="00D21AF7" w:rsidP="00D21AF7">
      <w:pPr>
        <w:jc w:val="both"/>
      </w:pPr>
      <w:r>
        <w:t xml:space="preserve">Poniżej zaprezentowano wykres obrazujący rozkład odpowiedzi na pytanie, czy mieszkańcy Poznania niezależnie od możliwości finansowanych chcieliby kiedyś zamieszkać w jakiejś miejscowości pod Poznaniem. </w:t>
      </w:r>
    </w:p>
    <w:p w:rsidR="00D21AF7" w:rsidRPr="00291CA0" w:rsidRDefault="00291CA0" w:rsidP="00291CA0">
      <w:pPr>
        <w:pStyle w:val="Legenda"/>
        <w:jc w:val="both"/>
        <w:rPr>
          <w:b w:val="0"/>
          <w:color w:val="auto"/>
          <w:sz w:val="20"/>
        </w:rPr>
      </w:pPr>
      <w:r w:rsidRPr="00291CA0">
        <w:rPr>
          <w:b w:val="0"/>
          <w:color w:val="auto"/>
          <w:sz w:val="20"/>
        </w:rPr>
        <w:t xml:space="preserve">Wykres </w:t>
      </w:r>
      <w:r w:rsidRPr="00291CA0">
        <w:rPr>
          <w:b w:val="0"/>
          <w:color w:val="auto"/>
          <w:sz w:val="20"/>
        </w:rPr>
        <w:fldChar w:fldCharType="begin"/>
      </w:r>
      <w:r w:rsidRPr="00291CA0">
        <w:rPr>
          <w:b w:val="0"/>
          <w:color w:val="auto"/>
          <w:sz w:val="20"/>
        </w:rPr>
        <w:instrText xml:space="preserve"> SEQ Wykres \* ARABIC </w:instrText>
      </w:r>
      <w:r w:rsidRPr="00291CA0">
        <w:rPr>
          <w:b w:val="0"/>
          <w:color w:val="auto"/>
          <w:sz w:val="20"/>
        </w:rPr>
        <w:fldChar w:fldCharType="separate"/>
      </w:r>
      <w:r w:rsidR="00D540D9">
        <w:rPr>
          <w:b w:val="0"/>
          <w:noProof/>
          <w:color w:val="auto"/>
          <w:sz w:val="20"/>
        </w:rPr>
        <w:t>37</w:t>
      </w:r>
      <w:r w:rsidRPr="00291CA0">
        <w:rPr>
          <w:b w:val="0"/>
          <w:color w:val="auto"/>
          <w:sz w:val="20"/>
        </w:rPr>
        <w:fldChar w:fldCharType="end"/>
      </w:r>
      <w:r w:rsidRPr="00291CA0">
        <w:rPr>
          <w:b w:val="0"/>
          <w:color w:val="auto"/>
          <w:sz w:val="20"/>
        </w:rPr>
        <w:t xml:space="preserve">. </w:t>
      </w:r>
      <w:r w:rsidR="00D21AF7" w:rsidRPr="00291CA0">
        <w:rPr>
          <w:b w:val="0"/>
          <w:color w:val="auto"/>
          <w:sz w:val="20"/>
        </w:rPr>
        <w:t>Niezależnie od Pani/Pana możliwości finansowych, czy chciałaby Pani/chciałby Pan kiedyś zamieszkać w jakiejś miejscowości pod Poznaniem?</w:t>
      </w:r>
    </w:p>
    <w:p w:rsidR="00D21AF7" w:rsidRDefault="00D21AF7" w:rsidP="00D21AF7">
      <w:r w:rsidRPr="00011B9F">
        <w:rPr>
          <w:noProof/>
        </w:rPr>
        <w:lastRenderedPageBreak/>
        <w:drawing>
          <wp:inline distT="0" distB="0" distL="0" distR="0">
            <wp:extent cx="5509881" cy="2934586"/>
            <wp:effectExtent l="0" t="0" r="0" b="0"/>
            <wp:docPr id="8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21AF7" w:rsidRDefault="00D21AF7" w:rsidP="00D21AF7">
      <w:pPr>
        <w:pStyle w:val="rdo"/>
      </w:pPr>
      <w:r w:rsidRPr="00271B24">
        <w:t>Źródło: opracowanie własne na podstawie wyników badań ankietowych.</w:t>
      </w:r>
    </w:p>
    <w:p w:rsidR="00D21AF7" w:rsidRDefault="00D21AF7" w:rsidP="00D21AF7">
      <w:pPr>
        <w:pStyle w:val="rdo"/>
      </w:pPr>
    </w:p>
    <w:p w:rsidR="00D21AF7" w:rsidRDefault="00D21AF7" w:rsidP="00D21AF7">
      <w:pPr>
        <w:jc w:val="both"/>
      </w:pPr>
      <w:r>
        <w:t>Deklaracja zamieszkania w najbliższej okolicy poza Poznaniem nie jest oczywiście bezwarunkowa. Należy wziąć pod uwagę fakt, że jednak możliwości finansowe będą skutecznie powstrzymywać ewentualną masową migrację, ponieważ najważniejszym warunkiem, jaki musi być spełniony, aby poznaniacy chcieli się przeprowadzić, jest zamieszkanie w domu jednorodzinnym lub w większym mieszkaniu. Taki warunek stawia aż 85% respondentów. Połowa respondentów również stawia ważny warunek, na którego wpływ samorządu jest niewielki, mianowicie czas dojazdu do pracy z ewentualnego nowego miejsca zamieszkania nie powinien być zbyt długi, a możliwości dojazdu różnorodne i łatwe. Blisko 40% mieszkańców Poznania chce także, aby po przeprowadzce otaczała ich przyroda, aby było dużo przestrzeni, a okolica ładna. Dla co piątego respondenta ważna w ocenie atrakcyjności zamieszkania jest również dostępność do odpowiednich przedszkoli i szkół oraz usług kultury, rozrywki i rekreacji. Osoby z wyższym wykształceniem jeszcze wyraźniej niż ogół respondentów warunkują ewentualną przeprowadzkę zamieszkaniem w domu jednorodzinnym lub większym mieszkaniu, dostępność do odpowiedniego przedszkola i szkoły dla dzieci jest ważna dla co trzeciego respondenta z wyższym wykształceniem. Z kolei dla osób nieposiadających wyższego wykształcenia, ważnym kryterium wyboru miejsca zamieszkania poza Poznaniem jest dostępność do bogatej oferty punktów handlowych.</w:t>
      </w:r>
    </w:p>
    <w:p w:rsidR="00D21AF7" w:rsidRDefault="00D21AF7" w:rsidP="00D21AF7">
      <w:pPr>
        <w:jc w:val="both"/>
      </w:pPr>
      <w:r>
        <w:t>Dla wszystkich grup respondentów ważnym warunkiem zamieszkania pod Poznaniem jest możliwość w miarę szybkiego dojazdu do pracy. Mężczyźni wskazali ten warunek nawet w 62% przypadków, kobiety w blisko 40%. Zapytani poznaniacy, ile czasu zgodziliby się maksymalnie poświęcić na dojazd do pracy w jedną stronę po przeprowadzce poza Poznań, odpowiedzieli, że około 38 minut (średnia ważona), czyli tyle, ile mniej więcej jedzie pociąg osobowy ze stacji Pobiedziska na dworzec główny w Poznaniu. Kobiety zgodziłyby się dojeżdżać nieco dłużej, bo około 43 minuty, a mężczyźni krócej – 33 minuty. Oznacza to, że przeciętny mieszkaniec Poznania będzie poszukiwał raczej bliższej miejscowości do zamieszkania niż którąś z gminy Pobiedziska, chyba że północno-wschodni wlot do Poznania zwiększy swoją przepustowość lub zostaną stworzone dogodne warunki korzystania z komunikacji publicznej, szczególnie kolei.</w:t>
      </w:r>
    </w:p>
    <w:p w:rsidR="00D21AF7" w:rsidRDefault="00D21AF7" w:rsidP="00D21AF7">
      <w:pPr>
        <w:jc w:val="both"/>
      </w:pPr>
      <w:r>
        <w:lastRenderedPageBreak/>
        <w:t>Wykres poniżej prezentuje wyniki odpowiedzi na pytanie o warunki, jakie musiałyby być spełnione, aby mieszkaniec Poznania zdecydował się zamieszkać w które</w:t>
      </w:r>
      <w:r w:rsidR="00D540D9">
        <w:t>jś z okolicznych miejscowości.</w:t>
      </w:r>
    </w:p>
    <w:p w:rsidR="00D21AF7" w:rsidRPr="00291CA0" w:rsidRDefault="00291CA0" w:rsidP="00291CA0">
      <w:pPr>
        <w:pStyle w:val="Legenda"/>
        <w:spacing w:after="0"/>
        <w:rPr>
          <w:b w:val="0"/>
          <w:color w:val="auto"/>
          <w:sz w:val="20"/>
        </w:rPr>
      </w:pPr>
      <w:r w:rsidRPr="00291CA0">
        <w:rPr>
          <w:b w:val="0"/>
          <w:color w:val="auto"/>
          <w:sz w:val="20"/>
        </w:rPr>
        <w:t xml:space="preserve">Wykres </w:t>
      </w:r>
      <w:r w:rsidRPr="00291CA0">
        <w:rPr>
          <w:b w:val="0"/>
          <w:color w:val="auto"/>
          <w:sz w:val="20"/>
        </w:rPr>
        <w:fldChar w:fldCharType="begin"/>
      </w:r>
      <w:r w:rsidRPr="00291CA0">
        <w:rPr>
          <w:b w:val="0"/>
          <w:color w:val="auto"/>
          <w:sz w:val="20"/>
        </w:rPr>
        <w:instrText xml:space="preserve"> SEQ Wykres \* ARABIC </w:instrText>
      </w:r>
      <w:r w:rsidRPr="00291CA0">
        <w:rPr>
          <w:b w:val="0"/>
          <w:color w:val="auto"/>
          <w:sz w:val="20"/>
        </w:rPr>
        <w:fldChar w:fldCharType="separate"/>
      </w:r>
      <w:r w:rsidR="00D540D9">
        <w:rPr>
          <w:b w:val="0"/>
          <w:noProof/>
          <w:color w:val="auto"/>
          <w:sz w:val="20"/>
        </w:rPr>
        <w:t>38</w:t>
      </w:r>
      <w:r w:rsidRPr="00291CA0">
        <w:rPr>
          <w:b w:val="0"/>
          <w:color w:val="auto"/>
          <w:sz w:val="20"/>
        </w:rPr>
        <w:fldChar w:fldCharType="end"/>
      </w:r>
      <w:r w:rsidRPr="00291CA0">
        <w:rPr>
          <w:b w:val="0"/>
          <w:color w:val="auto"/>
          <w:sz w:val="20"/>
        </w:rPr>
        <w:t xml:space="preserve">. </w:t>
      </w:r>
      <w:r w:rsidR="00D21AF7" w:rsidRPr="00291CA0">
        <w:rPr>
          <w:b w:val="0"/>
          <w:color w:val="auto"/>
          <w:sz w:val="20"/>
        </w:rPr>
        <w:t>Jeśli tak, to czy po przeprowadzce musiałby być spełnione jakieś warunki?</w:t>
      </w:r>
    </w:p>
    <w:p w:rsidR="00D21AF7" w:rsidRDefault="00D21AF7" w:rsidP="00291CA0">
      <w:pPr>
        <w:spacing w:after="0"/>
      </w:pPr>
      <w:r w:rsidRPr="00011B9F">
        <w:rPr>
          <w:noProof/>
        </w:rPr>
        <w:drawing>
          <wp:inline distT="0" distB="0" distL="0" distR="0">
            <wp:extent cx="5760720" cy="3764740"/>
            <wp:effectExtent l="0" t="0" r="0" b="0"/>
            <wp:docPr id="9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21AF7" w:rsidRDefault="00D21AF7" w:rsidP="00D21AF7"/>
    <w:p w:rsidR="00D21AF7" w:rsidRDefault="00D21AF7" w:rsidP="00D21AF7">
      <w:pPr>
        <w:jc w:val="both"/>
      </w:pPr>
      <w:r>
        <w:t xml:space="preserve">Mieszkańcy Poznania to duża grupa weekendowych turystów, o których również konkurują i będą konkurować podpoznańskie gminy. Jak wynika z przeprowadzonych badań, co czwarty poznaniak deklaruje, że przynajmniej raz na miesiąc wybiera się w celach </w:t>
      </w:r>
      <w:r w:rsidRPr="003D491B">
        <w:t>turystycznych lub sportowo-rekreacyjnych w najbliższe okolice</w:t>
      </w:r>
      <w:r>
        <w:t>. 15% czyni to jeszcze częściej, bo raz na dwa tygodnie, a 7% raz na tydzień. Wyjazdy weekendowe w celach turystycznych lub sportowo-rekreacyjnych co dwa miesiące deklaruje 16% mieszkańców stolicy Wielkopolski. Częściej na weekendy w/w celach wybierają się osoby nieposiadające wyższego wykształcenia oraz w wieku 40 lat i więcej. Kobiety i mężczyźni wyjeżdżają mniej więcej tak samo często.</w:t>
      </w:r>
    </w:p>
    <w:p w:rsidR="00D21AF7" w:rsidRDefault="00D21AF7" w:rsidP="00D21AF7">
      <w:pPr>
        <w:jc w:val="both"/>
      </w:pPr>
      <w:r>
        <w:t xml:space="preserve">Wykres poniżej prezentuje wyniki odpowiedzi na pytanie o częstotliwość wyjazdów na weekend w </w:t>
      </w:r>
      <w:r w:rsidRPr="003D491B">
        <w:t>celach turystycznych lub sportowo-rekreacyjnych w najbliższe okolice</w:t>
      </w:r>
      <w:r>
        <w:t xml:space="preserve"> Poznania.</w:t>
      </w:r>
    </w:p>
    <w:p w:rsidR="00D21AF7" w:rsidRPr="00D540D9" w:rsidRDefault="00D540D9" w:rsidP="00D540D9">
      <w:pPr>
        <w:pStyle w:val="Legenda"/>
        <w:spacing w:after="0"/>
        <w:jc w:val="both"/>
        <w:rPr>
          <w:b w:val="0"/>
          <w:color w:val="auto"/>
          <w:sz w:val="20"/>
        </w:rPr>
      </w:pPr>
      <w:r w:rsidRPr="00D540D9">
        <w:rPr>
          <w:b w:val="0"/>
          <w:color w:val="auto"/>
          <w:sz w:val="20"/>
        </w:rPr>
        <w:t xml:space="preserve">Wykres </w:t>
      </w:r>
      <w:r w:rsidRPr="00D540D9">
        <w:rPr>
          <w:b w:val="0"/>
          <w:color w:val="auto"/>
          <w:sz w:val="20"/>
        </w:rPr>
        <w:fldChar w:fldCharType="begin"/>
      </w:r>
      <w:r w:rsidRPr="00D540D9">
        <w:rPr>
          <w:b w:val="0"/>
          <w:color w:val="auto"/>
          <w:sz w:val="20"/>
        </w:rPr>
        <w:instrText xml:space="preserve"> SEQ Wykres \* ARABIC </w:instrText>
      </w:r>
      <w:r w:rsidRPr="00D540D9">
        <w:rPr>
          <w:b w:val="0"/>
          <w:color w:val="auto"/>
          <w:sz w:val="20"/>
        </w:rPr>
        <w:fldChar w:fldCharType="separate"/>
      </w:r>
      <w:r>
        <w:rPr>
          <w:b w:val="0"/>
          <w:noProof/>
          <w:color w:val="auto"/>
          <w:sz w:val="20"/>
        </w:rPr>
        <w:t>39</w:t>
      </w:r>
      <w:r w:rsidRPr="00D540D9">
        <w:rPr>
          <w:b w:val="0"/>
          <w:color w:val="auto"/>
          <w:sz w:val="20"/>
        </w:rPr>
        <w:fldChar w:fldCharType="end"/>
      </w:r>
      <w:r w:rsidRPr="00D540D9">
        <w:rPr>
          <w:b w:val="0"/>
          <w:color w:val="auto"/>
          <w:sz w:val="20"/>
        </w:rPr>
        <w:t>. J</w:t>
      </w:r>
      <w:r w:rsidR="00D21AF7" w:rsidRPr="00D540D9">
        <w:rPr>
          <w:b w:val="0"/>
          <w:color w:val="auto"/>
          <w:sz w:val="20"/>
        </w:rPr>
        <w:t>ak często wybiera się Pani/Pan w weekendy w celach turystycznych lub sportowo-rekreacyjnych w najbliższe okolice (gdzieś wokół Poznania, nie dalej niż 30 km)?</w:t>
      </w:r>
    </w:p>
    <w:p w:rsidR="00D21AF7" w:rsidRDefault="00D21AF7" w:rsidP="00D540D9">
      <w:pPr>
        <w:spacing w:after="0"/>
        <w:rPr>
          <w:rFonts w:ascii="Times New Roman" w:hAnsi="Times New Roman"/>
          <w:sz w:val="18"/>
          <w:szCs w:val="18"/>
        </w:rPr>
      </w:pPr>
      <w:r w:rsidRPr="00A600CC">
        <w:rPr>
          <w:rFonts w:ascii="Times New Roman" w:hAnsi="Times New Roman"/>
          <w:noProof/>
          <w:sz w:val="18"/>
          <w:szCs w:val="18"/>
        </w:rPr>
        <w:lastRenderedPageBreak/>
        <w:drawing>
          <wp:inline distT="0" distB="0" distL="0" distR="0">
            <wp:extent cx="4818764" cy="2923954"/>
            <wp:effectExtent l="0" t="0" r="0" b="0"/>
            <wp:docPr id="91"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21AF7" w:rsidRPr="00271B24" w:rsidRDefault="00D21AF7" w:rsidP="00D21AF7">
      <w:pPr>
        <w:pStyle w:val="rdo"/>
      </w:pPr>
      <w:r w:rsidRPr="00271B24">
        <w:t>Źródło: opracowanie własne na podstawie wyników badań ankietowych.</w:t>
      </w:r>
    </w:p>
    <w:p w:rsidR="00D21AF7" w:rsidRDefault="00D21AF7" w:rsidP="00D21AF7">
      <w:pPr>
        <w:rPr>
          <w:rFonts w:ascii="Times New Roman" w:hAnsi="Times New Roman"/>
          <w:sz w:val="18"/>
          <w:szCs w:val="18"/>
        </w:rPr>
      </w:pPr>
    </w:p>
    <w:p w:rsidR="00D21AF7" w:rsidRDefault="00D21AF7" w:rsidP="00D21AF7">
      <w:pPr>
        <w:jc w:val="both"/>
      </w:pPr>
      <w:r>
        <w:t xml:space="preserve">Poznaniacy najczęściej na te wyjazdy wybierają się ze znajomymi (65%), następnie z rodziną (32%). Tylko 2% respondentów wyjeżdża samotnie. Młodsza grupa respondentów częściej wybiera się ze znajomymi. Natomiast osoby po 39 roku życia częściej niż ogół i o wiele częściej niż młodsi respondenci wskazywali rodzinę jako towarzystwo weekendowych wyjazdów. Można zatem stwierdzić, że turyści weekendowi mieszkający w Poznaniu to stosunkowo duży rynek docelowy, który należy brać pod uwagę, tworząc konkurencyjną ofertę turystyczną i sportowo-rekreacyjną. Badania częściowo wskazały również, jakie formy uprawiania rekreacji, turystyki i sportu interesują poznaniaków. Pytanie o to miało formę otwartą. Poznaniacy najczęściej wskazywali, że na weekendy w okolice Poznania wyjeżdżają, aby jeździć na rowerze, spacerować po lesie, łowić ryby, zwiedzać, spotykać się ze znajomymi przy ognisku lub grillu. Zatem są to formy lekkiej i nieintensywnej rekreacji, do których Pobiedziska mogą mieć interesującą ofertę, w każdym razie jeśli chodzi o walory naturalne. Mieszkańcy Poznania oczekują jednak, że infrastruktura do uprawiania rekreacji będzie lepsza, wskazują szczególnie na ścieżki rowerowe oraz szlaki spacerowe. </w:t>
      </w:r>
    </w:p>
    <w:p w:rsidR="00D21AF7" w:rsidRDefault="00D21AF7" w:rsidP="00D21AF7">
      <w:r>
        <w:br w:type="page"/>
      </w:r>
    </w:p>
    <w:p w:rsidR="00D21AF7" w:rsidRPr="00D540D9" w:rsidRDefault="00D540D9" w:rsidP="00D540D9">
      <w:pPr>
        <w:pStyle w:val="Legenda"/>
        <w:spacing w:after="0"/>
        <w:rPr>
          <w:b w:val="0"/>
          <w:color w:val="auto"/>
          <w:sz w:val="20"/>
        </w:rPr>
      </w:pPr>
      <w:r w:rsidRPr="00D540D9">
        <w:rPr>
          <w:b w:val="0"/>
          <w:color w:val="auto"/>
          <w:sz w:val="20"/>
        </w:rPr>
        <w:lastRenderedPageBreak/>
        <w:t xml:space="preserve">Wykres </w:t>
      </w:r>
      <w:r w:rsidRPr="00D540D9">
        <w:rPr>
          <w:b w:val="0"/>
          <w:color w:val="auto"/>
          <w:sz w:val="20"/>
        </w:rPr>
        <w:fldChar w:fldCharType="begin"/>
      </w:r>
      <w:r w:rsidRPr="00D540D9">
        <w:rPr>
          <w:b w:val="0"/>
          <w:color w:val="auto"/>
          <w:sz w:val="20"/>
        </w:rPr>
        <w:instrText xml:space="preserve"> SEQ Wykres \* ARABIC </w:instrText>
      </w:r>
      <w:r w:rsidRPr="00D540D9">
        <w:rPr>
          <w:b w:val="0"/>
          <w:color w:val="auto"/>
          <w:sz w:val="20"/>
        </w:rPr>
        <w:fldChar w:fldCharType="separate"/>
      </w:r>
      <w:r>
        <w:rPr>
          <w:b w:val="0"/>
          <w:noProof/>
          <w:color w:val="auto"/>
          <w:sz w:val="20"/>
        </w:rPr>
        <w:t>40</w:t>
      </w:r>
      <w:r w:rsidRPr="00D540D9">
        <w:rPr>
          <w:b w:val="0"/>
          <w:color w:val="auto"/>
          <w:sz w:val="20"/>
        </w:rPr>
        <w:fldChar w:fldCharType="end"/>
      </w:r>
      <w:r w:rsidRPr="00D540D9">
        <w:rPr>
          <w:b w:val="0"/>
          <w:color w:val="auto"/>
          <w:sz w:val="20"/>
        </w:rPr>
        <w:t xml:space="preserve">. </w:t>
      </w:r>
      <w:r w:rsidR="00D21AF7" w:rsidRPr="00D540D9">
        <w:rPr>
          <w:b w:val="0"/>
          <w:color w:val="auto"/>
          <w:sz w:val="20"/>
        </w:rPr>
        <w:t>Z kim najczęściej w weekendy wybiera się Pani/Pan w najbliższe okolice Poznania w celach turystycznych lub sportowo-rekreacyjnych?</w:t>
      </w:r>
    </w:p>
    <w:p w:rsidR="00D21AF7" w:rsidRDefault="00D21AF7" w:rsidP="00D540D9">
      <w:pPr>
        <w:spacing w:after="0"/>
        <w:rPr>
          <w:rFonts w:ascii="Times New Roman" w:hAnsi="Times New Roman"/>
          <w:sz w:val="18"/>
          <w:szCs w:val="18"/>
        </w:rPr>
      </w:pPr>
      <w:r w:rsidRPr="00A600CC">
        <w:rPr>
          <w:rFonts w:ascii="Times New Roman" w:hAnsi="Times New Roman"/>
          <w:noProof/>
          <w:sz w:val="18"/>
          <w:szCs w:val="18"/>
        </w:rPr>
        <w:drawing>
          <wp:inline distT="0" distB="0" distL="0" distR="0">
            <wp:extent cx="4669909" cy="2647507"/>
            <wp:effectExtent l="0" t="0" r="0" b="0"/>
            <wp:docPr id="92"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D21AF7" w:rsidRPr="00271B24" w:rsidRDefault="00D21AF7" w:rsidP="00D21AF7">
      <w:pPr>
        <w:pStyle w:val="rdo"/>
      </w:pPr>
      <w:r w:rsidRPr="00271B24">
        <w:t>Źródło: opracowanie własne na podstawie wyników badań ankietowych.</w:t>
      </w:r>
    </w:p>
    <w:p w:rsidR="00D21AF7" w:rsidRPr="00885434" w:rsidRDefault="00D21AF7" w:rsidP="00D21AF7"/>
    <w:p w:rsidR="00D21AF7" w:rsidRPr="00F95C9D" w:rsidRDefault="00F95C9D" w:rsidP="00F95C9D">
      <w:pPr>
        <w:pStyle w:val="Nagwek2"/>
        <w:rPr>
          <w:rFonts w:asciiTheme="minorHAnsi" w:hAnsiTheme="minorHAnsi"/>
          <w:color w:val="632423" w:themeColor="accent2" w:themeShade="80"/>
        </w:rPr>
      </w:pPr>
      <w:bookmarkStart w:id="37" w:name="_Toc321135352"/>
      <w:r w:rsidRPr="00F95C9D">
        <w:rPr>
          <w:rFonts w:asciiTheme="minorHAnsi" w:hAnsiTheme="minorHAnsi"/>
          <w:color w:val="632423" w:themeColor="accent2" w:themeShade="80"/>
        </w:rPr>
        <w:t>9.4 Pobiedziska okiem przedsiębiorców</w:t>
      </w:r>
      <w:bookmarkEnd w:id="37"/>
    </w:p>
    <w:p w:rsidR="00F95C9D" w:rsidRDefault="00F95C9D" w:rsidP="00F95C9D">
      <w:pPr>
        <w:jc w:val="both"/>
      </w:pPr>
      <w:r>
        <w:t>Badanie przeprowadzono na próbie 50 przedsiębiorstw działających na terenie gminy Pobiedziska, które podzielono na dwie grupy: zatrudniające do 10 pracowników oraz powyżej 10 osób. Dobór próby odzwierciedla strukturę wielkości przedsiębiorstw, uwzględniono jednak niewielką nadreprezentację przedsiębiorstw zatrudniających powyżej 10 pracowników.</w:t>
      </w:r>
    </w:p>
    <w:p w:rsidR="00F95C9D" w:rsidRPr="00D540D9" w:rsidRDefault="00D540D9" w:rsidP="00D540D9">
      <w:pPr>
        <w:pStyle w:val="Legenda"/>
        <w:spacing w:after="0"/>
        <w:rPr>
          <w:b w:val="0"/>
          <w:color w:val="auto"/>
          <w:sz w:val="20"/>
        </w:rPr>
      </w:pPr>
      <w:r w:rsidRPr="00D540D9">
        <w:rPr>
          <w:b w:val="0"/>
          <w:color w:val="auto"/>
          <w:sz w:val="20"/>
        </w:rPr>
        <w:t xml:space="preserve">Wykres </w:t>
      </w:r>
      <w:r w:rsidRPr="00D540D9">
        <w:rPr>
          <w:b w:val="0"/>
          <w:color w:val="auto"/>
          <w:sz w:val="20"/>
        </w:rPr>
        <w:fldChar w:fldCharType="begin"/>
      </w:r>
      <w:r w:rsidRPr="00D540D9">
        <w:rPr>
          <w:b w:val="0"/>
          <w:color w:val="auto"/>
          <w:sz w:val="20"/>
        </w:rPr>
        <w:instrText xml:space="preserve"> SEQ Wykres \* ARABIC </w:instrText>
      </w:r>
      <w:r w:rsidRPr="00D540D9">
        <w:rPr>
          <w:b w:val="0"/>
          <w:color w:val="auto"/>
          <w:sz w:val="20"/>
        </w:rPr>
        <w:fldChar w:fldCharType="separate"/>
      </w:r>
      <w:r>
        <w:rPr>
          <w:b w:val="0"/>
          <w:noProof/>
          <w:color w:val="auto"/>
          <w:sz w:val="20"/>
        </w:rPr>
        <w:t>41</w:t>
      </w:r>
      <w:r w:rsidRPr="00D540D9">
        <w:rPr>
          <w:b w:val="0"/>
          <w:color w:val="auto"/>
          <w:sz w:val="20"/>
        </w:rPr>
        <w:fldChar w:fldCharType="end"/>
      </w:r>
      <w:r w:rsidRPr="00D540D9">
        <w:rPr>
          <w:b w:val="0"/>
          <w:color w:val="auto"/>
          <w:sz w:val="20"/>
        </w:rPr>
        <w:t xml:space="preserve">. </w:t>
      </w:r>
      <w:r w:rsidR="00F95C9D" w:rsidRPr="00D540D9">
        <w:rPr>
          <w:b w:val="0"/>
          <w:color w:val="auto"/>
          <w:sz w:val="20"/>
        </w:rPr>
        <w:t>Próba badawcza</w:t>
      </w:r>
    </w:p>
    <w:p w:rsidR="00F95C9D" w:rsidRDefault="00F95C9D" w:rsidP="00D540D9">
      <w:pPr>
        <w:spacing w:after="0"/>
      </w:pPr>
      <w:r w:rsidRPr="003427ED">
        <w:rPr>
          <w:noProof/>
        </w:rPr>
        <w:drawing>
          <wp:inline distT="0" distB="0" distL="0" distR="0">
            <wp:extent cx="3723611" cy="2477386"/>
            <wp:effectExtent l="0" t="0" r="0" b="0"/>
            <wp:docPr id="9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F95C9D" w:rsidRPr="00271B24" w:rsidRDefault="00F95C9D" w:rsidP="00F95C9D">
      <w:pPr>
        <w:pStyle w:val="rdo"/>
      </w:pPr>
      <w:r w:rsidRPr="00271B24">
        <w:t>Źródło: opracowanie własne na podstawie wyników badań ankietowych.</w:t>
      </w:r>
    </w:p>
    <w:p w:rsidR="00F95C9D" w:rsidRDefault="00F95C9D" w:rsidP="00F95C9D"/>
    <w:p w:rsidR="00F95C9D" w:rsidRDefault="00F95C9D" w:rsidP="00F95C9D">
      <w:pPr>
        <w:jc w:val="both"/>
      </w:pPr>
      <w:r>
        <w:t>Jak wynika z przeprowadzonych na potrzeby opracowania Strategii badań ankietowych wśród przedsiębiorców prowadzących działalność na terenie gminy Pobiedziska oceniają oni stosunkowo dobrze wiele aspektów warunków prowadzenia działalności na terenie gminy. Oceniali oni następujące kryteria:</w:t>
      </w:r>
    </w:p>
    <w:p w:rsidR="00F95C9D" w:rsidRPr="00C40B1C" w:rsidRDefault="00F95C9D" w:rsidP="00F95C9D">
      <w:pPr>
        <w:pStyle w:val="Akapitzlist"/>
        <w:numPr>
          <w:ilvl w:val="0"/>
          <w:numId w:val="50"/>
        </w:numPr>
        <w:spacing w:line="276" w:lineRule="auto"/>
        <w:jc w:val="both"/>
        <w:rPr>
          <w:rFonts w:asciiTheme="minorHAnsi" w:eastAsiaTheme="minorEastAsia" w:hAnsiTheme="minorHAnsi" w:cstheme="minorHAnsi"/>
          <w:sz w:val="22"/>
          <w:szCs w:val="22"/>
        </w:rPr>
      </w:pPr>
      <w:r w:rsidRPr="00C40B1C">
        <w:rPr>
          <w:rFonts w:asciiTheme="minorHAnsi" w:eastAsiaTheme="minorEastAsia" w:hAnsiTheme="minorHAnsi" w:cstheme="minorHAnsi"/>
          <w:sz w:val="22"/>
          <w:szCs w:val="22"/>
        </w:rPr>
        <w:lastRenderedPageBreak/>
        <w:t>Jakość pracy urzędników odpowiedzialnych za obsługę przedsiębiorców (sposób odnoszenia się do petentów, wiedzę, komunikatywność, itp.)</w:t>
      </w:r>
      <w:r>
        <w:rPr>
          <w:rFonts w:asciiTheme="minorHAnsi" w:eastAsiaTheme="minorEastAsia" w:hAnsiTheme="minorHAnsi" w:cstheme="minorHAnsi"/>
          <w:sz w:val="22"/>
          <w:szCs w:val="22"/>
        </w:rPr>
        <w:t>;</w:t>
      </w:r>
    </w:p>
    <w:p w:rsidR="00F95C9D" w:rsidRPr="00C40B1C" w:rsidRDefault="00F95C9D" w:rsidP="00F95C9D">
      <w:pPr>
        <w:pStyle w:val="Akapitzlist"/>
        <w:numPr>
          <w:ilvl w:val="0"/>
          <w:numId w:val="50"/>
        </w:numPr>
        <w:spacing w:line="276" w:lineRule="auto"/>
        <w:jc w:val="both"/>
        <w:rPr>
          <w:rFonts w:asciiTheme="minorHAnsi" w:eastAsiaTheme="minorEastAsia" w:hAnsiTheme="minorHAnsi" w:cstheme="minorHAnsi"/>
          <w:sz w:val="22"/>
          <w:szCs w:val="22"/>
        </w:rPr>
      </w:pPr>
      <w:r w:rsidRPr="00C40B1C">
        <w:rPr>
          <w:rFonts w:asciiTheme="minorHAnsi" w:eastAsiaTheme="minorEastAsia" w:hAnsiTheme="minorHAnsi" w:cstheme="minorHAnsi"/>
          <w:sz w:val="22"/>
          <w:szCs w:val="22"/>
        </w:rPr>
        <w:t>Szybkość podejmowania decyzji administracyjnych w sprawach związanych z prowadzeniem działalności gospodarczej</w:t>
      </w:r>
      <w:r>
        <w:rPr>
          <w:rFonts w:asciiTheme="minorHAnsi" w:eastAsiaTheme="minorEastAsia" w:hAnsiTheme="minorHAnsi" w:cstheme="minorHAnsi"/>
          <w:sz w:val="22"/>
          <w:szCs w:val="22"/>
        </w:rPr>
        <w:t>;</w:t>
      </w:r>
    </w:p>
    <w:p w:rsidR="00F95C9D" w:rsidRPr="00C40B1C" w:rsidRDefault="00F95C9D" w:rsidP="00F95C9D">
      <w:pPr>
        <w:pStyle w:val="Akapitzlist"/>
        <w:numPr>
          <w:ilvl w:val="0"/>
          <w:numId w:val="50"/>
        </w:numPr>
        <w:spacing w:line="276" w:lineRule="auto"/>
        <w:jc w:val="both"/>
        <w:rPr>
          <w:rFonts w:asciiTheme="minorHAnsi" w:eastAsiaTheme="minorEastAsia" w:hAnsiTheme="minorHAnsi" w:cstheme="minorHAnsi"/>
          <w:sz w:val="22"/>
          <w:szCs w:val="22"/>
        </w:rPr>
      </w:pPr>
      <w:r w:rsidRPr="00C40B1C">
        <w:rPr>
          <w:rFonts w:asciiTheme="minorHAnsi" w:eastAsiaTheme="minorEastAsia" w:hAnsiTheme="minorHAnsi" w:cstheme="minorHAnsi"/>
          <w:sz w:val="22"/>
          <w:szCs w:val="22"/>
        </w:rPr>
        <w:t>Jakość i dostępność do informacji o działalności urzędu miasta i gminy i jednostek gminnych (chodzi o informacje podawane przez urząd na stronach internetowych i w innych formach)</w:t>
      </w:r>
      <w:r>
        <w:rPr>
          <w:rFonts w:asciiTheme="minorHAnsi" w:eastAsiaTheme="minorEastAsia" w:hAnsiTheme="minorHAnsi" w:cstheme="minorHAnsi"/>
          <w:sz w:val="22"/>
          <w:szCs w:val="22"/>
        </w:rPr>
        <w:t>;</w:t>
      </w:r>
    </w:p>
    <w:p w:rsidR="00F95C9D" w:rsidRPr="00C40B1C" w:rsidRDefault="00F95C9D" w:rsidP="00F95C9D">
      <w:pPr>
        <w:pStyle w:val="Akapitzlist"/>
        <w:numPr>
          <w:ilvl w:val="0"/>
          <w:numId w:val="50"/>
        </w:numPr>
        <w:spacing w:line="276" w:lineRule="auto"/>
        <w:jc w:val="both"/>
        <w:rPr>
          <w:rFonts w:asciiTheme="minorHAnsi" w:eastAsiaTheme="minorEastAsia" w:hAnsiTheme="minorHAnsi" w:cstheme="minorHAnsi"/>
          <w:sz w:val="22"/>
          <w:szCs w:val="22"/>
        </w:rPr>
      </w:pPr>
      <w:r w:rsidRPr="00C40B1C">
        <w:rPr>
          <w:rFonts w:asciiTheme="minorHAnsi" w:eastAsiaTheme="minorEastAsia" w:hAnsiTheme="minorHAnsi" w:cstheme="minorHAnsi"/>
          <w:sz w:val="22"/>
          <w:szCs w:val="22"/>
        </w:rPr>
        <w:t>Wielkość dostępnej w gminie powierzchni pod działalność gospodarczą (w tym także liczba dos</w:t>
      </w:r>
      <w:r>
        <w:rPr>
          <w:rFonts w:asciiTheme="minorHAnsi" w:eastAsiaTheme="minorEastAsia" w:hAnsiTheme="minorHAnsi" w:cstheme="minorHAnsi"/>
          <w:sz w:val="22"/>
          <w:szCs w:val="22"/>
        </w:rPr>
        <w:t>tępnych terenów inwestycyjnych);</w:t>
      </w:r>
    </w:p>
    <w:p w:rsidR="00F95C9D" w:rsidRPr="00C40B1C" w:rsidRDefault="00F95C9D" w:rsidP="00F95C9D">
      <w:pPr>
        <w:pStyle w:val="Akapitzlist"/>
        <w:numPr>
          <w:ilvl w:val="0"/>
          <w:numId w:val="50"/>
        </w:numPr>
        <w:spacing w:line="276" w:lineRule="auto"/>
        <w:jc w:val="both"/>
        <w:rPr>
          <w:rFonts w:asciiTheme="minorHAnsi" w:eastAsiaTheme="minorEastAsia" w:hAnsiTheme="minorHAnsi" w:cstheme="minorHAnsi"/>
          <w:sz w:val="22"/>
          <w:szCs w:val="22"/>
        </w:rPr>
      </w:pPr>
      <w:r w:rsidRPr="00C40B1C">
        <w:rPr>
          <w:rFonts w:asciiTheme="minorHAnsi" w:eastAsiaTheme="minorEastAsia" w:hAnsiTheme="minorHAnsi" w:cstheme="minorHAnsi"/>
          <w:sz w:val="22"/>
          <w:szCs w:val="22"/>
        </w:rPr>
        <w:t>Jakość dostępnej w gminie powierzchni pod działalność gospodarczą</w:t>
      </w:r>
      <w:r>
        <w:rPr>
          <w:rFonts w:asciiTheme="minorHAnsi" w:eastAsiaTheme="minorEastAsia" w:hAnsiTheme="minorHAnsi" w:cstheme="minorHAnsi"/>
          <w:sz w:val="22"/>
          <w:szCs w:val="22"/>
        </w:rPr>
        <w:t>;</w:t>
      </w:r>
    </w:p>
    <w:p w:rsidR="00F95C9D" w:rsidRPr="00C40B1C" w:rsidRDefault="00F95C9D" w:rsidP="00F95C9D">
      <w:pPr>
        <w:pStyle w:val="Akapitzlist"/>
        <w:numPr>
          <w:ilvl w:val="0"/>
          <w:numId w:val="50"/>
        </w:numPr>
        <w:spacing w:line="276" w:lineRule="auto"/>
        <w:jc w:val="both"/>
        <w:rPr>
          <w:rFonts w:asciiTheme="minorHAnsi" w:eastAsiaTheme="minorEastAsia" w:hAnsiTheme="minorHAnsi" w:cstheme="minorHAnsi"/>
          <w:sz w:val="22"/>
          <w:szCs w:val="22"/>
        </w:rPr>
      </w:pPr>
      <w:r w:rsidRPr="00C40B1C">
        <w:rPr>
          <w:rFonts w:asciiTheme="minorHAnsi" w:eastAsiaTheme="minorEastAsia" w:hAnsiTheme="minorHAnsi" w:cstheme="minorHAnsi"/>
          <w:sz w:val="22"/>
          <w:szCs w:val="22"/>
        </w:rPr>
        <w:t>Dostępność infrastruktury technicznej w gminie (m.in. kanalizacyjnej, wodociągowej, energetycznej, gazowej)</w:t>
      </w:r>
      <w:r>
        <w:rPr>
          <w:rFonts w:asciiTheme="minorHAnsi" w:eastAsiaTheme="minorEastAsia" w:hAnsiTheme="minorHAnsi" w:cstheme="minorHAnsi"/>
          <w:sz w:val="22"/>
          <w:szCs w:val="22"/>
        </w:rPr>
        <w:t>;</w:t>
      </w:r>
    </w:p>
    <w:p w:rsidR="00F95C9D" w:rsidRPr="00C40B1C" w:rsidRDefault="00F95C9D" w:rsidP="00F95C9D">
      <w:pPr>
        <w:pStyle w:val="Akapitzlist"/>
        <w:numPr>
          <w:ilvl w:val="0"/>
          <w:numId w:val="50"/>
        </w:numPr>
        <w:spacing w:line="276" w:lineRule="auto"/>
        <w:jc w:val="both"/>
        <w:rPr>
          <w:rFonts w:asciiTheme="minorHAnsi" w:eastAsiaTheme="minorEastAsia" w:hAnsiTheme="minorHAnsi" w:cstheme="minorHAnsi"/>
          <w:sz w:val="22"/>
          <w:szCs w:val="22"/>
        </w:rPr>
      </w:pPr>
      <w:r w:rsidRPr="00C40B1C">
        <w:rPr>
          <w:rFonts w:asciiTheme="minorHAnsi" w:eastAsiaTheme="minorEastAsia" w:hAnsiTheme="minorHAnsi" w:cstheme="minorHAnsi"/>
          <w:sz w:val="22"/>
          <w:szCs w:val="22"/>
        </w:rPr>
        <w:t>Układ komunikacyjny z punktu widzenia prowadzenia działalności gospodarczej</w:t>
      </w:r>
      <w:r>
        <w:rPr>
          <w:rFonts w:asciiTheme="minorHAnsi" w:eastAsiaTheme="minorEastAsia" w:hAnsiTheme="minorHAnsi" w:cstheme="minorHAnsi"/>
          <w:sz w:val="22"/>
          <w:szCs w:val="22"/>
        </w:rPr>
        <w:t>;</w:t>
      </w:r>
    </w:p>
    <w:p w:rsidR="00F95C9D" w:rsidRPr="00C40B1C" w:rsidRDefault="00F95C9D" w:rsidP="00F95C9D">
      <w:pPr>
        <w:pStyle w:val="Akapitzlist"/>
        <w:numPr>
          <w:ilvl w:val="0"/>
          <w:numId w:val="50"/>
        </w:numPr>
        <w:spacing w:line="276" w:lineRule="auto"/>
        <w:jc w:val="both"/>
        <w:rPr>
          <w:rFonts w:asciiTheme="minorHAnsi" w:eastAsiaTheme="minorEastAsia" w:hAnsiTheme="minorHAnsi" w:cstheme="minorHAnsi"/>
          <w:sz w:val="22"/>
          <w:szCs w:val="22"/>
        </w:rPr>
      </w:pPr>
      <w:r w:rsidRPr="00C40B1C">
        <w:rPr>
          <w:rFonts w:asciiTheme="minorHAnsi" w:eastAsiaTheme="minorEastAsia" w:hAnsiTheme="minorHAnsi" w:cstheme="minorHAnsi"/>
          <w:sz w:val="22"/>
          <w:szCs w:val="22"/>
        </w:rPr>
        <w:t>Jakość usług komunalnych (m.in. dostarczanie wody, odbiór nieczystości stałych i ciekłych, unieszkodliwianie odpadów)</w:t>
      </w:r>
      <w:r>
        <w:rPr>
          <w:rFonts w:asciiTheme="minorHAnsi" w:eastAsiaTheme="minorEastAsia" w:hAnsiTheme="minorHAnsi" w:cstheme="minorHAnsi"/>
          <w:sz w:val="22"/>
          <w:szCs w:val="22"/>
        </w:rPr>
        <w:t>;</w:t>
      </w:r>
    </w:p>
    <w:p w:rsidR="00F95C9D" w:rsidRPr="00C40B1C" w:rsidRDefault="00F95C9D" w:rsidP="00F95C9D">
      <w:pPr>
        <w:pStyle w:val="Akapitzlist"/>
        <w:numPr>
          <w:ilvl w:val="0"/>
          <w:numId w:val="50"/>
        </w:numPr>
        <w:spacing w:line="276" w:lineRule="auto"/>
        <w:jc w:val="both"/>
        <w:rPr>
          <w:rFonts w:asciiTheme="minorHAnsi" w:eastAsiaTheme="minorEastAsia" w:hAnsiTheme="minorHAnsi" w:cstheme="minorHAnsi"/>
          <w:sz w:val="22"/>
          <w:szCs w:val="22"/>
        </w:rPr>
      </w:pPr>
      <w:r w:rsidRPr="00C40B1C">
        <w:rPr>
          <w:rFonts w:asciiTheme="minorHAnsi" w:eastAsiaTheme="minorEastAsia" w:hAnsiTheme="minorHAnsi" w:cstheme="minorHAnsi"/>
          <w:sz w:val="22"/>
          <w:szCs w:val="22"/>
        </w:rPr>
        <w:t>Aktywność samorządu w ułatwianiu prowadzenia działalności gospodarczej na terenie gminy</w:t>
      </w:r>
      <w:r>
        <w:rPr>
          <w:rFonts w:asciiTheme="minorHAnsi" w:eastAsiaTheme="minorEastAsia" w:hAnsiTheme="minorHAnsi" w:cstheme="minorHAnsi"/>
          <w:sz w:val="22"/>
          <w:szCs w:val="22"/>
        </w:rPr>
        <w:t>;</w:t>
      </w:r>
    </w:p>
    <w:p w:rsidR="00F95C9D" w:rsidRPr="00C40B1C" w:rsidRDefault="00F95C9D" w:rsidP="00F95C9D">
      <w:pPr>
        <w:pStyle w:val="Akapitzlist"/>
        <w:numPr>
          <w:ilvl w:val="0"/>
          <w:numId w:val="50"/>
        </w:numPr>
        <w:spacing w:line="276" w:lineRule="auto"/>
        <w:jc w:val="both"/>
        <w:rPr>
          <w:rFonts w:asciiTheme="minorHAnsi" w:eastAsiaTheme="minorEastAsia" w:hAnsiTheme="minorHAnsi" w:cstheme="minorHAnsi"/>
          <w:sz w:val="22"/>
          <w:szCs w:val="22"/>
        </w:rPr>
      </w:pPr>
      <w:r w:rsidRPr="00C40B1C">
        <w:rPr>
          <w:rFonts w:asciiTheme="minorHAnsi" w:eastAsiaTheme="minorEastAsia" w:hAnsiTheme="minorHAnsi" w:cstheme="minorHAnsi"/>
          <w:sz w:val="22"/>
          <w:szCs w:val="22"/>
        </w:rPr>
        <w:t>Kwalifikacje i umiejętności mieszkańców gminy jako obecnych i potencjalnych pracowników pana firmy</w:t>
      </w:r>
      <w:r>
        <w:rPr>
          <w:rFonts w:asciiTheme="minorHAnsi" w:eastAsiaTheme="minorEastAsia" w:hAnsiTheme="minorHAnsi" w:cstheme="minorHAnsi"/>
          <w:sz w:val="22"/>
          <w:szCs w:val="22"/>
        </w:rPr>
        <w:t>;</w:t>
      </w:r>
    </w:p>
    <w:p w:rsidR="00F95C9D" w:rsidRPr="00C40B1C" w:rsidRDefault="00F95C9D" w:rsidP="00F95C9D">
      <w:pPr>
        <w:pStyle w:val="Akapitzlist"/>
        <w:numPr>
          <w:ilvl w:val="0"/>
          <w:numId w:val="50"/>
        </w:numPr>
        <w:spacing w:line="276" w:lineRule="auto"/>
        <w:jc w:val="both"/>
        <w:rPr>
          <w:rFonts w:asciiTheme="minorHAnsi" w:eastAsiaTheme="minorEastAsia" w:hAnsiTheme="minorHAnsi" w:cstheme="minorHAnsi"/>
          <w:sz w:val="22"/>
          <w:szCs w:val="22"/>
        </w:rPr>
      </w:pPr>
      <w:r w:rsidRPr="00C40B1C">
        <w:rPr>
          <w:rFonts w:asciiTheme="minorHAnsi" w:eastAsiaTheme="minorEastAsia" w:hAnsiTheme="minorHAnsi" w:cstheme="minorHAnsi"/>
          <w:sz w:val="22"/>
          <w:szCs w:val="22"/>
        </w:rPr>
        <w:t>Współpracę pomiędzy przedsiębiorstwami funkcjonującymi na terenie gminy</w:t>
      </w:r>
      <w:r>
        <w:rPr>
          <w:rFonts w:asciiTheme="minorHAnsi" w:eastAsiaTheme="minorEastAsia" w:hAnsiTheme="minorHAnsi" w:cstheme="minorHAnsi"/>
          <w:sz w:val="22"/>
          <w:szCs w:val="22"/>
        </w:rPr>
        <w:t>;</w:t>
      </w:r>
    </w:p>
    <w:p w:rsidR="00F95C9D" w:rsidRPr="00C40B1C" w:rsidRDefault="00F95C9D" w:rsidP="00F95C9D">
      <w:pPr>
        <w:pStyle w:val="Akapitzlist"/>
        <w:numPr>
          <w:ilvl w:val="0"/>
          <w:numId w:val="50"/>
        </w:numPr>
        <w:spacing w:line="276" w:lineRule="auto"/>
        <w:jc w:val="both"/>
        <w:rPr>
          <w:rFonts w:asciiTheme="minorHAnsi" w:eastAsiaTheme="minorEastAsia" w:hAnsiTheme="minorHAnsi" w:cstheme="minorHAnsi"/>
          <w:sz w:val="22"/>
          <w:szCs w:val="22"/>
        </w:rPr>
      </w:pPr>
      <w:r w:rsidRPr="00C40B1C">
        <w:rPr>
          <w:rFonts w:asciiTheme="minorHAnsi" w:eastAsiaTheme="minorEastAsia" w:hAnsiTheme="minorHAnsi" w:cstheme="minorHAnsi"/>
          <w:sz w:val="22"/>
          <w:szCs w:val="22"/>
        </w:rPr>
        <w:t>Wysokość obciążeń pieniężnych zależnych od gminy (m.in. podatek od nieruchomości, podatek od środków transportowych)</w:t>
      </w:r>
      <w:r>
        <w:rPr>
          <w:rFonts w:asciiTheme="minorHAnsi" w:eastAsiaTheme="minorEastAsia" w:hAnsiTheme="minorHAnsi" w:cstheme="minorHAnsi"/>
          <w:sz w:val="22"/>
          <w:szCs w:val="22"/>
        </w:rPr>
        <w:t>;</w:t>
      </w:r>
    </w:p>
    <w:p w:rsidR="00F95C9D" w:rsidRPr="00C40B1C" w:rsidRDefault="00F95C9D" w:rsidP="00F95C9D">
      <w:pPr>
        <w:pStyle w:val="Akapitzlist"/>
        <w:numPr>
          <w:ilvl w:val="0"/>
          <w:numId w:val="50"/>
        </w:numPr>
        <w:spacing w:line="276" w:lineRule="auto"/>
        <w:jc w:val="both"/>
        <w:rPr>
          <w:rFonts w:asciiTheme="minorHAnsi" w:eastAsiaTheme="minorEastAsia" w:hAnsiTheme="minorHAnsi" w:cstheme="minorHAnsi"/>
          <w:sz w:val="22"/>
          <w:szCs w:val="22"/>
        </w:rPr>
      </w:pPr>
      <w:r w:rsidRPr="00C40B1C">
        <w:rPr>
          <w:rFonts w:asciiTheme="minorHAnsi" w:eastAsiaTheme="minorEastAsia" w:hAnsiTheme="minorHAnsi" w:cstheme="minorHAnsi"/>
          <w:sz w:val="22"/>
          <w:szCs w:val="22"/>
        </w:rPr>
        <w:t>Dostępność do informacji o firmach działających na terenie gminy</w:t>
      </w:r>
      <w:r>
        <w:rPr>
          <w:rFonts w:asciiTheme="minorHAnsi" w:eastAsiaTheme="minorEastAsia" w:hAnsiTheme="minorHAnsi" w:cstheme="minorHAnsi"/>
          <w:sz w:val="22"/>
          <w:szCs w:val="22"/>
        </w:rPr>
        <w:t>.</w:t>
      </w:r>
    </w:p>
    <w:p w:rsidR="00F95C9D" w:rsidRDefault="00F95C9D" w:rsidP="00D540D9">
      <w:pPr>
        <w:spacing w:after="0"/>
        <w:jc w:val="both"/>
        <w:rPr>
          <w:rFonts w:cstheme="minorHAnsi"/>
        </w:rPr>
      </w:pPr>
      <w:r w:rsidRPr="00C40B1C">
        <w:t xml:space="preserve">Skala oceny zostało rozpięta od -5 do 5, gdzie -5 oznacza, że ocena jest zdecydowanie negatywna, a np. -1 nieznacznie negatywna, +5 oznacza, że ocena jest zdecydowanie pozytywna, a np. +1 nieznacznie pozytywna. 0 oznacza, że ocena jest neutralna. </w:t>
      </w:r>
      <w:r>
        <w:t xml:space="preserve">Zdecydowana większość kryteriów została oceniona pozytywnie. Ujemnie, ale nieznacznie poniżej 0, zostały ocenione pierwsze dwa kryteria generalnie związane z funkcjonowaniem magistratu. Negatywna ocena pracy urzędników i szybkości załatwiania spraw w Pobiedziskach odzwierciedla odbiór pracy urzędów przez przedsiębiorców w Polsce. Poniżej średniej dla oceny wszystkich kryteriów plasują się również kryteria: aktywność samorządu </w:t>
      </w:r>
      <w:r w:rsidRPr="00C40B1C">
        <w:rPr>
          <w:rFonts w:cstheme="minorHAnsi"/>
        </w:rPr>
        <w:t>w ułatwianiu prowadzenia działalności gospodarczej na terenie gminy</w:t>
      </w:r>
      <w:r>
        <w:rPr>
          <w:rFonts w:cstheme="minorHAnsi"/>
        </w:rPr>
        <w:t xml:space="preserve"> (0,84, czyli nieznacznie powyżej oceny neutralnej), d</w:t>
      </w:r>
      <w:r w:rsidRPr="00C40B1C">
        <w:rPr>
          <w:rFonts w:cstheme="minorHAnsi"/>
        </w:rPr>
        <w:t>ostępność do informacji o firmach działających na terenie gminy</w:t>
      </w:r>
      <w:r>
        <w:rPr>
          <w:rFonts w:cstheme="minorHAnsi"/>
        </w:rPr>
        <w:t xml:space="preserve"> (1,84) oraz w</w:t>
      </w:r>
      <w:r w:rsidRPr="00C40B1C">
        <w:rPr>
          <w:rFonts w:cstheme="minorHAnsi"/>
        </w:rPr>
        <w:t>ielkość dostępnej w gminie powierzchni pod działalność gospodarczą (w tym także liczba dos</w:t>
      </w:r>
      <w:r>
        <w:rPr>
          <w:rFonts w:cstheme="minorHAnsi"/>
        </w:rPr>
        <w:t>tępnych terenów inwestycyjnych). Najlepiej oceniana jest jakość świadczonych na rzecz przedsiębiorstw usług komunalnych, j</w:t>
      </w:r>
      <w:r w:rsidRPr="00C40B1C">
        <w:rPr>
          <w:rFonts w:cstheme="minorHAnsi"/>
        </w:rPr>
        <w:t>akość i dostępność do informacji o działalności urzędu miasta i gminy i jednostek gminnych (chodzi o informacje podawane przez urząd na stronach internetowych i w innych formach)</w:t>
      </w:r>
      <w:r>
        <w:rPr>
          <w:rFonts w:cstheme="minorHAnsi"/>
        </w:rPr>
        <w:t xml:space="preserve"> oraz układ komunikacyjny i dostępność infrastruktury technicznej. Wykres poniżej prezentuje szczegółowo poszczególne wyniki.</w:t>
      </w:r>
    </w:p>
    <w:p w:rsidR="00F95C9D" w:rsidRDefault="00F95C9D" w:rsidP="00F95C9D">
      <w:pPr>
        <w:jc w:val="both"/>
        <w:rPr>
          <w:rFonts w:cstheme="minorHAnsi"/>
        </w:rPr>
      </w:pPr>
      <w:r>
        <w:rPr>
          <w:rFonts w:cstheme="minorHAnsi"/>
        </w:rPr>
        <w:t>Wykres: Ocena warunków prowadzenia działalności na terenie gminy Pobiedziska przez przedsiębiorców</w:t>
      </w:r>
    </w:p>
    <w:p w:rsidR="00F95C9D" w:rsidRPr="00C40B1C" w:rsidRDefault="00F95C9D" w:rsidP="00F95C9D">
      <w:pPr>
        <w:jc w:val="both"/>
      </w:pPr>
      <w:r w:rsidRPr="008418C7">
        <w:rPr>
          <w:noProof/>
        </w:rPr>
        <w:lastRenderedPageBreak/>
        <w:drawing>
          <wp:inline distT="0" distB="0" distL="0" distR="0">
            <wp:extent cx="5760720" cy="3764740"/>
            <wp:effectExtent l="0" t="0" r="0" b="0"/>
            <wp:docPr id="10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F95C9D" w:rsidRPr="00271B24" w:rsidRDefault="00F95C9D" w:rsidP="00F95C9D">
      <w:pPr>
        <w:pStyle w:val="rdo"/>
      </w:pPr>
      <w:r w:rsidRPr="00271B24">
        <w:t>Źródło: opracowanie własne na podstawie wyników badań ankietowych.</w:t>
      </w:r>
    </w:p>
    <w:p w:rsidR="00F95C9D" w:rsidRDefault="00F95C9D" w:rsidP="00F95C9D"/>
    <w:p w:rsidR="00F95C9D" w:rsidRDefault="00F95C9D" w:rsidP="00F95C9D">
      <w:pPr>
        <w:jc w:val="both"/>
        <w:rPr>
          <w:rFonts w:cstheme="minorHAnsi"/>
        </w:rPr>
      </w:pPr>
      <w:r>
        <w:t xml:space="preserve">Ocenę warunków prowadzenia działalności należy zestawić z oceną ważności poszczególnych kryteriów. Pozwoli to na weryfikację, czy zdefiniowane słabe lub mocne strony należy brać i w jakim stopniu pod uwagę poprawiając sytuację w ramach strategii rozwoju. Przedsiębiorcy oceniali w skali 1 do 5 poszczególne kryteria, gdzie 1 oznacza </w:t>
      </w:r>
      <w:r w:rsidRPr="00D01CAA">
        <w:t xml:space="preserve">„w ogóle nie jest to ważne”, a 5 „jest to bardzo ważne”. </w:t>
      </w:r>
      <w:r>
        <w:t>Najmniej ważne i plasujące się poniżej średniej dla wszystkich kryteriów w ocenie przedsiębiorców kryteria atrakcyjności gminy z punku widzenia prowadzenia na jej terenie działalności gospodarczej to: d</w:t>
      </w:r>
      <w:r w:rsidRPr="00D01CAA">
        <w:t>ostępność do informacji o firmach działających na terenie gminy (</w:t>
      </w:r>
      <w:r>
        <w:t xml:space="preserve">2,14), </w:t>
      </w:r>
      <w:r>
        <w:rPr>
          <w:rFonts w:cstheme="minorHAnsi"/>
        </w:rPr>
        <w:t>w</w:t>
      </w:r>
      <w:r w:rsidRPr="00C40B1C">
        <w:rPr>
          <w:rFonts w:cstheme="minorHAnsi"/>
        </w:rPr>
        <w:t>ielkość dostępnej w gminie powierzchni pod działalność gospodarczą</w:t>
      </w:r>
      <w:r>
        <w:rPr>
          <w:rFonts w:cstheme="minorHAnsi"/>
        </w:rPr>
        <w:t xml:space="preserve"> (2,44), j</w:t>
      </w:r>
      <w:r w:rsidRPr="00C40B1C">
        <w:rPr>
          <w:rFonts w:cstheme="minorHAnsi"/>
        </w:rPr>
        <w:t>akość i dostępność do informacji o działalności urzędu miasta i gminy i jednostek gminnych</w:t>
      </w:r>
      <w:r>
        <w:rPr>
          <w:rFonts w:cstheme="minorHAnsi"/>
        </w:rPr>
        <w:t xml:space="preserve"> (2,6), współpraca pomiędzy przedsiębiorstwami (2,84), a</w:t>
      </w:r>
      <w:r w:rsidRPr="00C40B1C">
        <w:rPr>
          <w:rFonts w:cstheme="minorHAnsi"/>
        </w:rPr>
        <w:t>ktywność samorządu w ułatwianiu prowadzenia działalności gospodarczej na terenie gminy</w:t>
      </w:r>
      <w:r>
        <w:rPr>
          <w:rFonts w:cstheme="minorHAnsi"/>
        </w:rPr>
        <w:t xml:space="preserve"> (3,12). Za najważniejsze kryteria oceny atrakcyjności gminy jako miejsca prowadzenia działalności gospodarczej przedsiębiorcy funkcjonujący w Pobiedziskach uważają: wysokość obciążeń pieniężnych zależnych od gminy (4,9), s</w:t>
      </w:r>
      <w:r w:rsidRPr="00F03AA8">
        <w:rPr>
          <w:rFonts w:cstheme="minorHAnsi"/>
        </w:rPr>
        <w:t>zybkość podejmowania decyzji administracyjnych</w:t>
      </w:r>
      <w:r>
        <w:rPr>
          <w:rFonts w:cstheme="minorHAnsi"/>
        </w:rPr>
        <w:t xml:space="preserve"> (4,82), jakość pracy urzędników (4,44) oraz układ komunikacyjny (4,4). Wykres poniżej prezentuje szczegółowo uzyskane wyniki.</w:t>
      </w:r>
    </w:p>
    <w:p w:rsidR="00F95C9D" w:rsidRDefault="00F95C9D" w:rsidP="00F95C9D">
      <w:pPr>
        <w:jc w:val="both"/>
      </w:pPr>
    </w:p>
    <w:p w:rsidR="00F95C9D" w:rsidRPr="00D540D9" w:rsidRDefault="00D540D9" w:rsidP="00D540D9">
      <w:pPr>
        <w:pStyle w:val="Legenda"/>
        <w:spacing w:after="0"/>
        <w:jc w:val="both"/>
        <w:rPr>
          <w:rFonts w:cstheme="minorHAnsi"/>
          <w:b w:val="0"/>
          <w:color w:val="auto"/>
          <w:sz w:val="20"/>
        </w:rPr>
      </w:pPr>
      <w:r w:rsidRPr="00D540D9">
        <w:rPr>
          <w:b w:val="0"/>
          <w:color w:val="auto"/>
          <w:sz w:val="20"/>
        </w:rPr>
        <w:t xml:space="preserve">Wykres </w:t>
      </w:r>
      <w:r w:rsidRPr="00D540D9">
        <w:rPr>
          <w:b w:val="0"/>
          <w:color w:val="auto"/>
          <w:sz w:val="20"/>
        </w:rPr>
        <w:fldChar w:fldCharType="begin"/>
      </w:r>
      <w:r w:rsidRPr="00D540D9">
        <w:rPr>
          <w:b w:val="0"/>
          <w:color w:val="auto"/>
          <w:sz w:val="20"/>
        </w:rPr>
        <w:instrText xml:space="preserve"> SEQ Wykres \* ARABIC </w:instrText>
      </w:r>
      <w:r w:rsidRPr="00D540D9">
        <w:rPr>
          <w:b w:val="0"/>
          <w:color w:val="auto"/>
          <w:sz w:val="20"/>
        </w:rPr>
        <w:fldChar w:fldCharType="separate"/>
      </w:r>
      <w:r w:rsidRPr="00D540D9">
        <w:rPr>
          <w:b w:val="0"/>
          <w:noProof/>
          <w:color w:val="auto"/>
          <w:sz w:val="20"/>
        </w:rPr>
        <w:t>42</w:t>
      </w:r>
      <w:r w:rsidRPr="00D540D9">
        <w:rPr>
          <w:b w:val="0"/>
          <w:color w:val="auto"/>
          <w:sz w:val="20"/>
        </w:rPr>
        <w:fldChar w:fldCharType="end"/>
      </w:r>
      <w:r w:rsidRPr="00D540D9">
        <w:rPr>
          <w:b w:val="0"/>
          <w:color w:val="auto"/>
          <w:sz w:val="20"/>
        </w:rPr>
        <w:t xml:space="preserve">. </w:t>
      </w:r>
      <w:r w:rsidR="00F95C9D" w:rsidRPr="00D540D9">
        <w:rPr>
          <w:rFonts w:cstheme="minorHAnsi"/>
          <w:b w:val="0"/>
          <w:color w:val="auto"/>
          <w:sz w:val="20"/>
        </w:rPr>
        <w:t>Ocena wagi warunków prowadzenia działalności na terenie gminy Pobiedziska przez przedsiębiorców</w:t>
      </w:r>
    </w:p>
    <w:p w:rsidR="00F95C9D" w:rsidRDefault="00F95C9D" w:rsidP="00D540D9">
      <w:pPr>
        <w:spacing w:after="0"/>
      </w:pPr>
      <w:r w:rsidRPr="00DA0AF0">
        <w:rPr>
          <w:noProof/>
        </w:rPr>
        <w:lastRenderedPageBreak/>
        <w:drawing>
          <wp:inline distT="0" distB="0" distL="0" distR="0">
            <wp:extent cx="5760720" cy="3764740"/>
            <wp:effectExtent l="0" t="0" r="0" b="0"/>
            <wp:docPr id="101"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F95C9D" w:rsidRPr="00271B24" w:rsidRDefault="00F95C9D" w:rsidP="00F95C9D">
      <w:pPr>
        <w:pStyle w:val="rdo"/>
      </w:pPr>
      <w:r w:rsidRPr="00271B24">
        <w:t>Źródło: opracowanie własne na podstawie wyników badań ankietowych.</w:t>
      </w:r>
    </w:p>
    <w:p w:rsidR="00F95C9D" w:rsidRDefault="00F95C9D" w:rsidP="00F95C9D"/>
    <w:p w:rsidR="00F95C9D" w:rsidRDefault="00F95C9D" w:rsidP="00F95C9D">
      <w:pPr>
        <w:jc w:val="both"/>
      </w:pPr>
      <w:r>
        <w:t>Przeprowadzając korelację pomiędzy wskazaną wagą poszczególnych kryteriów przez ich ocenę, możemy zdefiniować mocne i słabe strony Pobiedzisk z punktu widzenia prowadzenia tu działalności gospodarczej. Do słabych stron z pewnością należy postrzeganie przez przedsiębiorców pracy urzędników oraz szybkość załatwiania spraw urzędowych. Oba te kryteria są bardzo ważne według przedsiębiorców w ocenie warunków prowadzenia działalności, dlatego negatywna ocena tych warunków została dodatkowo spotęgowana. Władze miasta powinny zatem zweryfikować, co można poprawić w obsłudze przedsiębiorców lub też jak poprawić ocenę pracy urzędników. Do mocnych stron według przedsiębiorców natomiast zdecydowanie należy jakość usług komunalnych oraz układ komunikacyjny, a także dostępność infrastruktury technicznej w gminie, wysokość obciążeń pieniężnych zależnych od gminy. Stosunkowo dobrze oceniane są też kwalifikacje mieszkańców gminy jako obecnych i potencjalnych pracowników. Gmina, wykorzystując mocne strony do poprawy konkurencyjności jako miejsca inwestowania, powinna skupić się na dobrej promocji posiadanych atutów oraz dalszym inwestowaniu zwłaszcza w poprawę tych warunków, które są ważne dla przedsiębiorców.</w:t>
      </w:r>
    </w:p>
    <w:p w:rsidR="00F95C9D" w:rsidRDefault="00F95C9D" w:rsidP="00F95C9D"/>
    <w:p w:rsidR="00F95C9D" w:rsidRPr="00C97F28" w:rsidRDefault="00C97F28" w:rsidP="00C97F28">
      <w:pPr>
        <w:pStyle w:val="Nagwek2"/>
        <w:rPr>
          <w:rFonts w:asciiTheme="minorHAnsi" w:hAnsiTheme="minorHAnsi"/>
          <w:color w:val="632423" w:themeColor="accent2" w:themeShade="80"/>
        </w:rPr>
      </w:pPr>
      <w:bookmarkStart w:id="38" w:name="_Toc321135353"/>
      <w:r w:rsidRPr="00C97F28">
        <w:rPr>
          <w:rFonts w:asciiTheme="minorHAnsi" w:hAnsiTheme="minorHAnsi"/>
          <w:color w:val="632423" w:themeColor="accent2" w:themeShade="80"/>
        </w:rPr>
        <w:t>9.5 Konsultacje z gminami ościennymi</w:t>
      </w:r>
      <w:bookmarkEnd w:id="38"/>
    </w:p>
    <w:p w:rsidR="00414578" w:rsidRPr="00414578" w:rsidRDefault="00414578" w:rsidP="00414578">
      <w:pPr>
        <w:jc w:val="both"/>
      </w:pPr>
      <w:r w:rsidRPr="00414578">
        <w:t xml:space="preserve">Konsultacje pisemne z gminami ościennymi </w:t>
      </w:r>
      <w:r>
        <w:t>zostały</w:t>
      </w:r>
      <w:r w:rsidRPr="00414578">
        <w:t xml:space="preserve"> przeprowadzone w formie zapytania otwartego skierowanego pisemnie do wójtów i burmistrzów</w:t>
      </w:r>
      <w:r>
        <w:t xml:space="preserve"> następujących gmin: </w:t>
      </w:r>
      <w:r w:rsidRPr="00414578">
        <w:t>Czerniejewo, Swarzędz</w:t>
      </w:r>
      <w:r>
        <w:t>,</w:t>
      </w:r>
      <w:r w:rsidRPr="00414578">
        <w:t xml:space="preserve"> Czerwonak, Kiszkowo, Kostrzyn, Łubowo, Murowana Goślina, Nekla. Zapytanie w formie ankiety </w:t>
      </w:r>
      <w:r>
        <w:t>dotyczyło</w:t>
      </w:r>
      <w:r w:rsidRPr="00414578">
        <w:t xml:space="preserve"> głównie zdefiniowania mocnych i słabych stron oraz szans i zagrożeń związanych ze </w:t>
      </w:r>
      <w:r w:rsidRPr="00414578">
        <w:lastRenderedPageBreak/>
        <w:t xml:space="preserve">współpracą pomiędzy gminami oraz obszarami funkcjonowania gmin wspólnych dla sąsiadujących jednostek. </w:t>
      </w:r>
    </w:p>
    <w:p w:rsidR="006A67A7" w:rsidRDefault="00414578" w:rsidP="001B74C0">
      <w:pPr>
        <w:jc w:val="both"/>
      </w:pPr>
      <w:r w:rsidRPr="00414578">
        <w:t xml:space="preserve">Sąsiednie gminy </w:t>
      </w:r>
      <w:r>
        <w:t>wśród mocnych stron współpracy z gminą Pobiedziska wskazały</w:t>
      </w:r>
      <w:r w:rsidR="00802E5F">
        <w:t xml:space="preserve"> podejmowanie wspólnych działań </w:t>
      </w:r>
      <w:r w:rsidR="00802E5F" w:rsidRPr="0058008E">
        <w:t>w ramach</w:t>
      </w:r>
      <w:r w:rsidR="006A67A7">
        <w:t xml:space="preserve"> związków międzygminnych i stowarzyszeń.</w:t>
      </w:r>
    </w:p>
    <w:p w:rsidR="001B74C0" w:rsidRDefault="00802E5F" w:rsidP="001B74C0">
      <w:pPr>
        <w:jc w:val="both"/>
      </w:pPr>
      <w:r w:rsidRPr="0058008E">
        <w:t>Związ</w:t>
      </w:r>
      <w:r w:rsidR="006A67A7">
        <w:t>ek</w:t>
      </w:r>
      <w:r w:rsidRPr="0058008E">
        <w:t xml:space="preserve"> Międzygminn</w:t>
      </w:r>
      <w:r w:rsidR="006A67A7">
        <w:t>y</w:t>
      </w:r>
      <w:r w:rsidRPr="0058008E">
        <w:t xml:space="preserve"> </w:t>
      </w:r>
      <w:r>
        <w:t>„</w:t>
      </w:r>
      <w:r w:rsidRPr="00802E5F">
        <w:t>Puszcza Zielonka</w:t>
      </w:r>
      <w:r w:rsidR="006A67A7">
        <w:t>”</w:t>
      </w:r>
      <w:r w:rsidR="001B74C0" w:rsidRPr="001B74C0">
        <w:t xml:space="preserve"> pełni ważną funkcję platformy współpracy dla gmin członkowskich</w:t>
      </w:r>
      <w:r w:rsidR="001B74C0">
        <w:t>. Do podstawowych zadań związku należy: rozbudowa i porządkowanie infrastruktury turystycznej, uregulowanie gospodarki ściekowej na terenie gmin członkowskich Związku, ochrona przyrody.</w:t>
      </w:r>
      <w:r w:rsidR="006A67A7" w:rsidRPr="006A67A7">
        <w:t xml:space="preserve"> </w:t>
      </w:r>
      <w:r w:rsidR="006A67A7">
        <w:t xml:space="preserve">Ważnym elementem współpracy jest realizacja </w:t>
      </w:r>
      <w:r w:rsidR="006A67A7" w:rsidRPr="006A67A7">
        <w:t>projektu „Szlak kościołów drewnianych wokół Puszczy Zielonka”.</w:t>
      </w:r>
      <w:r w:rsidR="006A67A7">
        <w:t xml:space="preserve"> </w:t>
      </w:r>
      <w:r w:rsidR="006A67A7" w:rsidRPr="006A67A7">
        <w:t>Celem programu „Szlak kościołów drewnianych wokół Puszczy Zielonka” jest stworzenie warunków do dobrego zapoznania się z dziedzictwem drewnianej architektury sakralnej na terenie gmin Związku.</w:t>
      </w:r>
    </w:p>
    <w:p w:rsidR="00414578" w:rsidRDefault="00802E5F" w:rsidP="001B74C0">
      <w:pPr>
        <w:jc w:val="both"/>
      </w:pPr>
      <w:r w:rsidRPr="00802E5F">
        <w:t>Związ</w:t>
      </w:r>
      <w:r w:rsidR="006A67A7">
        <w:t>ek</w:t>
      </w:r>
      <w:r w:rsidRPr="00802E5F">
        <w:t xml:space="preserve"> Międzygminn</w:t>
      </w:r>
      <w:r w:rsidR="006A67A7">
        <w:t>y</w:t>
      </w:r>
      <w:r w:rsidRPr="00802E5F">
        <w:t xml:space="preserve"> „Schronisko dla zwierząt – SCHRONISKO”</w:t>
      </w:r>
      <w:r w:rsidR="006A67A7">
        <w:t xml:space="preserve"> </w:t>
      </w:r>
      <w:r w:rsidR="001B74C0" w:rsidRPr="001B74C0">
        <w:t>wykonuje zadania publiczne w zakresie tworzenia warunk</w:t>
      </w:r>
      <w:r w:rsidR="001B74C0" w:rsidRPr="001B74C0">
        <w:rPr>
          <w:rFonts w:hint="eastAsia"/>
        </w:rPr>
        <w:t>ó</w:t>
      </w:r>
      <w:r w:rsidR="001B74C0">
        <w:t xml:space="preserve">w </w:t>
      </w:r>
      <w:r w:rsidR="001B74C0" w:rsidRPr="001B74C0">
        <w:t>niezb</w:t>
      </w:r>
      <w:r w:rsidR="001B74C0" w:rsidRPr="001B74C0">
        <w:rPr>
          <w:rFonts w:hint="eastAsia"/>
        </w:rPr>
        <w:t>ę</w:t>
      </w:r>
      <w:r w:rsidR="001B74C0" w:rsidRPr="001B74C0">
        <w:t>dnych do utrzymania porz</w:t>
      </w:r>
      <w:r w:rsidR="001B74C0" w:rsidRPr="001B74C0">
        <w:rPr>
          <w:rFonts w:hint="eastAsia"/>
        </w:rPr>
        <w:t>ą</w:t>
      </w:r>
      <w:r w:rsidR="001B74C0" w:rsidRPr="001B74C0">
        <w:t>dku i czysto</w:t>
      </w:r>
      <w:r w:rsidR="001B74C0" w:rsidRPr="001B74C0">
        <w:rPr>
          <w:rFonts w:hint="eastAsia"/>
        </w:rPr>
        <w:t>ś</w:t>
      </w:r>
      <w:r w:rsidR="001B74C0" w:rsidRPr="001B74C0">
        <w:t>ci w gminach oraz zapewnienia opieki</w:t>
      </w:r>
      <w:r w:rsidR="001B74C0">
        <w:t xml:space="preserve"> </w:t>
      </w:r>
      <w:r w:rsidR="001B74C0" w:rsidRPr="001B74C0">
        <w:t>bezdomnym zwierz</w:t>
      </w:r>
      <w:r w:rsidR="001B74C0" w:rsidRPr="001B74C0">
        <w:rPr>
          <w:rFonts w:hint="eastAsia"/>
        </w:rPr>
        <w:t>ę</w:t>
      </w:r>
      <w:r w:rsidR="001B74C0" w:rsidRPr="001B74C0">
        <w:t>tom poprzez budow</w:t>
      </w:r>
      <w:r w:rsidR="001B74C0" w:rsidRPr="001B74C0">
        <w:rPr>
          <w:rFonts w:hint="eastAsia"/>
        </w:rPr>
        <w:t>ę</w:t>
      </w:r>
      <w:r w:rsidR="001B74C0" w:rsidRPr="001B74C0">
        <w:t xml:space="preserve"> i eksploatacj</w:t>
      </w:r>
      <w:r w:rsidR="001B74C0" w:rsidRPr="001B74C0">
        <w:rPr>
          <w:rFonts w:hint="eastAsia"/>
        </w:rPr>
        <w:t>ę</w:t>
      </w:r>
      <w:r w:rsidR="001B74C0" w:rsidRPr="001B74C0">
        <w:t xml:space="preserve"> mi</w:t>
      </w:r>
      <w:r w:rsidR="001B74C0" w:rsidRPr="001B74C0">
        <w:rPr>
          <w:rFonts w:hint="eastAsia"/>
        </w:rPr>
        <w:t>ę</w:t>
      </w:r>
      <w:r w:rsidR="001B74C0" w:rsidRPr="001B74C0">
        <w:t>dzygminnego schroniska</w:t>
      </w:r>
      <w:r w:rsidR="001B74C0">
        <w:t xml:space="preserve"> </w:t>
      </w:r>
      <w:r w:rsidR="001B74C0" w:rsidRPr="001B74C0">
        <w:t>dla bezdomnych zwierz</w:t>
      </w:r>
      <w:r w:rsidR="001B74C0" w:rsidRPr="001B74C0">
        <w:rPr>
          <w:rFonts w:hint="eastAsia"/>
        </w:rPr>
        <w:t>ą</w:t>
      </w:r>
      <w:r w:rsidR="001B74C0" w:rsidRPr="001B74C0">
        <w:t>t w Ska</w:t>
      </w:r>
      <w:r w:rsidR="001B74C0" w:rsidRPr="001B74C0">
        <w:rPr>
          <w:rFonts w:hint="eastAsia"/>
        </w:rPr>
        <w:t>ł</w:t>
      </w:r>
      <w:r w:rsidR="001B74C0" w:rsidRPr="001B74C0">
        <w:t>owie, gmina Kostrzyn.</w:t>
      </w:r>
    </w:p>
    <w:p w:rsidR="001B74C0" w:rsidRDefault="001B74C0" w:rsidP="001B74C0">
      <w:pPr>
        <w:jc w:val="both"/>
      </w:pPr>
      <w:r>
        <w:t>Stowarzyszeni</w:t>
      </w:r>
      <w:r w:rsidR="006A67A7">
        <w:t>e</w:t>
      </w:r>
      <w:r>
        <w:t xml:space="preserve"> „Metropolia Poznań</w:t>
      </w:r>
      <w:r w:rsidR="006A67A7">
        <w:t>”</w:t>
      </w:r>
      <w:r>
        <w:t xml:space="preserve"> </w:t>
      </w:r>
      <w:r w:rsidRPr="001B74C0">
        <w:t>jest stowarzyszeniem gmin i powiatów Aglomeracji</w:t>
      </w:r>
      <w:r>
        <w:t xml:space="preserve"> </w:t>
      </w:r>
      <w:r w:rsidRPr="001B74C0">
        <w:t>Pozna</w:t>
      </w:r>
      <w:r w:rsidRPr="001B74C0">
        <w:rPr>
          <w:rFonts w:hint="eastAsia"/>
        </w:rPr>
        <w:t>ń</w:t>
      </w:r>
      <w:r w:rsidRPr="001B74C0">
        <w:t>skiej</w:t>
      </w:r>
      <w:r>
        <w:t xml:space="preserve">. </w:t>
      </w:r>
      <w:r w:rsidRPr="001B74C0">
        <w:t>Celem Stowarzyszenia jest wspieranie idei samorz</w:t>
      </w:r>
      <w:r w:rsidRPr="001B74C0">
        <w:rPr>
          <w:rFonts w:hint="eastAsia"/>
        </w:rPr>
        <w:t>ą</w:t>
      </w:r>
      <w:r w:rsidRPr="001B74C0">
        <w:t>du terytorialnego oraz obrona wspólnych</w:t>
      </w:r>
      <w:r w:rsidR="002B3B08">
        <w:t xml:space="preserve"> </w:t>
      </w:r>
      <w:r w:rsidRPr="001B74C0">
        <w:t>interesów członków stowarzyszenia, a w szczególno</w:t>
      </w:r>
      <w:r w:rsidRPr="001B74C0">
        <w:rPr>
          <w:rFonts w:hint="eastAsia"/>
        </w:rPr>
        <w:t>ś</w:t>
      </w:r>
      <w:r w:rsidRPr="001B74C0">
        <w:t>ci wspieranie rozwoju społeczno</w:t>
      </w:r>
      <w:r w:rsidR="002B3B08">
        <w:t>-</w:t>
      </w:r>
      <w:r w:rsidRPr="001B74C0">
        <w:t>gospodarczego</w:t>
      </w:r>
      <w:r w:rsidR="002B3B08">
        <w:t xml:space="preserve"> </w:t>
      </w:r>
      <w:r w:rsidRPr="001B74C0">
        <w:t>Aglomeracji oraz współpracy gmin i powiatów w tym zakresie.</w:t>
      </w:r>
    </w:p>
    <w:p w:rsidR="006A67A7" w:rsidRDefault="006A67A7" w:rsidP="001B74C0">
      <w:pPr>
        <w:jc w:val="both"/>
      </w:pPr>
      <w:r w:rsidRPr="006A67A7">
        <w:t>Związek Międzygminny „Gospodarka Odpadami Aglomeracji Poznańskiej”</w:t>
      </w:r>
      <w:r>
        <w:t xml:space="preserve">. </w:t>
      </w:r>
      <w:r w:rsidRPr="006A67A7">
        <w:t>Celem związku jest wspólne wykonywanie zadań publicznych w zakresie gospodarki odpadami i stworzenie nowoczesnego systemu gospodarowania odpadami komunalnymi przy współudziale wielu gmin, co daje możliwość bardziej efektywnych działań. Funkcjonowanie związku zwiększa również zdolność pozyskiwania kapitału finansowego na realizację potencjalnych inwestycji tworzących zintegrowany nowoczesny system gospodarki odpadami.</w:t>
      </w:r>
    </w:p>
    <w:p w:rsidR="006A67A7" w:rsidRPr="00414578" w:rsidRDefault="006A67A7" w:rsidP="001B74C0">
      <w:pPr>
        <w:jc w:val="both"/>
      </w:pPr>
      <w:r>
        <w:t>Stowarzyszenie „Światowid” z siedzibą w Łubowie</w:t>
      </w:r>
      <w:r w:rsidR="00806511">
        <w:t xml:space="preserve"> przyczynia się do tworzenia optymalnych warunków dla rozwoju społecznego i gospodarczego na terenie gmin zrzeszonych, m.in. poprzez wspieranie inicjatyw zmierzających do tworzenia infrastruktury technicznej i społecznej, działalność na rzecz zrównoważonego i wielofunkcyjnego rozwoju obszarów wiejskich.</w:t>
      </w:r>
    </w:p>
    <w:p w:rsidR="00414578" w:rsidRPr="00607F1D" w:rsidRDefault="00607F1D" w:rsidP="00607F1D">
      <w:pPr>
        <w:jc w:val="both"/>
      </w:pPr>
      <w:r>
        <w:t xml:space="preserve">Wśród szans dotyczących rozwoju gminy Pobiedziska i gmin ościennych zostały wskazane </w:t>
      </w:r>
      <w:r w:rsidRPr="00607F1D">
        <w:t>wspólne projekty bazujące m. in. na dotychczasowym zakresie i formie prawnej współpracy np. dalsza kanalizacja obszaru, czy zagęszczanie sieci szlaków turystycznych.</w:t>
      </w:r>
    </w:p>
    <w:p w:rsidR="00607F1D" w:rsidRDefault="00607F1D" w:rsidP="00607F1D">
      <w:pPr>
        <w:jc w:val="both"/>
      </w:pPr>
      <w:r w:rsidRPr="00607F1D">
        <w:t>Istotnym zagrożeniem w rozwoju gminy Pobiedziska i gmin ościennych jest presja na zabudowę mieszkalną wokół Puszczy Zielonka, która w przypadku braku kontroli i współpracy będzie prowadzić do nadmiernej antropopresji na środowisko Parku Krajobrazowego. W ramach współpracy gminy powinny informować się wzajemnie o zamierzeniach planistycznych w bezpośrednim otoczeniu Parku.</w:t>
      </w:r>
    </w:p>
    <w:p w:rsidR="00C7149A" w:rsidRDefault="00C7149A" w:rsidP="00C7149A">
      <w:pPr>
        <w:jc w:val="both"/>
      </w:pPr>
      <w:r>
        <w:lastRenderedPageBreak/>
        <w:t xml:space="preserve">Wśród </w:t>
      </w:r>
      <w:r w:rsidRPr="00F90D25">
        <w:t>obszar</w:t>
      </w:r>
      <w:r>
        <w:t>ów</w:t>
      </w:r>
      <w:r w:rsidRPr="00F90D25">
        <w:t xml:space="preserve"> współpracy, w które powinny być zaangażowane również inne gminy z bezpośredniego otoczenia</w:t>
      </w:r>
      <w:r>
        <w:t xml:space="preserve"> wymieniono transport oraz d</w:t>
      </w:r>
      <w:r w:rsidRPr="00C7149A">
        <w:t>ziałania podejmowane na polu ochrony i promocji Parku Krajobrazowego „Puszcza</w:t>
      </w:r>
      <w:r>
        <w:t xml:space="preserve"> </w:t>
      </w:r>
      <w:r w:rsidRPr="00C7149A">
        <w:t>Zielonka” i jego otoczenia</w:t>
      </w:r>
      <w:r>
        <w:t>.</w:t>
      </w:r>
    </w:p>
    <w:p w:rsidR="00C7149A" w:rsidRPr="00607F1D" w:rsidRDefault="00C7149A" w:rsidP="00C7149A">
      <w:pPr>
        <w:jc w:val="both"/>
      </w:pPr>
    </w:p>
    <w:p w:rsidR="009A7ABC" w:rsidRPr="00E14DC7" w:rsidRDefault="009A7ABC" w:rsidP="00E84FFC">
      <w:pPr>
        <w:pStyle w:val="Nagwek1"/>
        <w:numPr>
          <w:ilvl w:val="0"/>
          <w:numId w:val="1"/>
        </w:numPr>
        <w:rPr>
          <w:rFonts w:asciiTheme="minorHAnsi" w:hAnsiTheme="minorHAnsi" w:cs="Tahoma"/>
          <w:color w:val="632423" w:themeColor="accent2" w:themeShade="80"/>
          <w:sz w:val="28"/>
        </w:rPr>
      </w:pPr>
      <w:bookmarkStart w:id="39" w:name="_Toc306028442"/>
      <w:bookmarkStart w:id="40" w:name="_Toc321135354"/>
      <w:r w:rsidRPr="00E14DC7">
        <w:rPr>
          <w:rFonts w:asciiTheme="minorHAnsi" w:hAnsiTheme="minorHAnsi" w:cs="Tahoma"/>
          <w:color w:val="632423" w:themeColor="accent2" w:themeShade="80"/>
          <w:sz w:val="28"/>
        </w:rPr>
        <w:t>Analiza SWOT</w:t>
      </w:r>
      <w:bookmarkEnd w:id="39"/>
      <w:bookmarkEnd w:id="40"/>
    </w:p>
    <w:p w:rsidR="009A7ABC" w:rsidRPr="00E14DC7" w:rsidRDefault="009A7ABC" w:rsidP="00E84FFC">
      <w:pPr>
        <w:pStyle w:val="Nagwek1"/>
        <w:numPr>
          <w:ilvl w:val="0"/>
          <w:numId w:val="1"/>
        </w:numPr>
        <w:rPr>
          <w:rFonts w:asciiTheme="minorHAnsi" w:hAnsiTheme="minorHAnsi" w:cs="Tahoma"/>
          <w:color w:val="632423" w:themeColor="accent2" w:themeShade="80"/>
          <w:sz w:val="28"/>
        </w:rPr>
      </w:pPr>
      <w:bookmarkStart w:id="41" w:name="_Toc306028443"/>
      <w:bookmarkStart w:id="42" w:name="_Toc321135355"/>
      <w:r w:rsidRPr="00E14DC7">
        <w:rPr>
          <w:rFonts w:asciiTheme="minorHAnsi" w:hAnsiTheme="minorHAnsi" w:cs="Tahoma"/>
          <w:color w:val="632423" w:themeColor="accent2" w:themeShade="80"/>
          <w:sz w:val="28"/>
        </w:rPr>
        <w:t xml:space="preserve">Misja i wizja rozwoju </w:t>
      </w:r>
      <w:bookmarkEnd w:id="41"/>
      <w:r w:rsidR="009E1BFE" w:rsidRPr="00E14DC7">
        <w:rPr>
          <w:rFonts w:asciiTheme="minorHAnsi" w:hAnsiTheme="minorHAnsi" w:cs="Tahoma"/>
          <w:color w:val="632423" w:themeColor="accent2" w:themeShade="80"/>
          <w:sz w:val="28"/>
        </w:rPr>
        <w:t>gminy</w:t>
      </w:r>
      <w:bookmarkEnd w:id="42"/>
    </w:p>
    <w:p w:rsidR="009A7ABC" w:rsidRPr="00E14DC7" w:rsidRDefault="009A7ABC" w:rsidP="00E84FFC">
      <w:pPr>
        <w:pStyle w:val="Nagwek1"/>
        <w:numPr>
          <w:ilvl w:val="0"/>
          <w:numId w:val="1"/>
        </w:numPr>
        <w:rPr>
          <w:rFonts w:asciiTheme="minorHAnsi" w:hAnsiTheme="minorHAnsi" w:cs="Tahoma"/>
          <w:color w:val="632423" w:themeColor="accent2" w:themeShade="80"/>
          <w:sz w:val="28"/>
        </w:rPr>
      </w:pPr>
      <w:bookmarkStart w:id="43" w:name="_Toc306028444"/>
      <w:bookmarkStart w:id="44" w:name="_Toc321135356"/>
      <w:r w:rsidRPr="00E14DC7">
        <w:rPr>
          <w:rFonts w:asciiTheme="minorHAnsi" w:hAnsiTheme="minorHAnsi" w:cs="Tahoma"/>
          <w:color w:val="632423" w:themeColor="accent2" w:themeShade="80"/>
          <w:sz w:val="28"/>
        </w:rPr>
        <w:t>Cele strategiczne i operacyjne</w:t>
      </w:r>
      <w:bookmarkEnd w:id="43"/>
      <w:bookmarkEnd w:id="44"/>
    </w:p>
    <w:p w:rsidR="009A7ABC" w:rsidRPr="00E14DC7" w:rsidRDefault="009A7ABC" w:rsidP="00E84FFC">
      <w:pPr>
        <w:pStyle w:val="Nagwek1"/>
        <w:numPr>
          <w:ilvl w:val="0"/>
          <w:numId w:val="1"/>
        </w:numPr>
        <w:rPr>
          <w:rFonts w:asciiTheme="minorHAnsi" w:hAnsiTheme="minorHAnsi" w:cs="Tahoma"/>
          <w:color w:val="632423" w:themeColor="accent2" w:themeShade="80"/>
          <w:sz w:val="28"/>
        </w:rPr>
      </w:pPr>
      <w:bookmarkStart w:id="45" w:name="_Toc306028445"/>
      <w:bookmarkStart w:id="46" w:name="_Toc321135357"/>
      <w:r w:rsidRPr="00E14DC7">
        <w:rPr>
          <w:rFonts w:asciiTheme="minorHAnsi" w:hAnsiTheme="minorHAnsi" w:cs="Tahoma"/>
          <w:color w:val="632423" w:themeColor="accent2" w:themeShade="80"/>
          <w:sz w:val="28"/>
        </w:rPr>
        <w:t>Priorytety rozwoju gminy</w:t>
      </w:r>
      <w:bookmarkEnd w:id="45"/>
      <w:bookmarkEnd w:id="46"/>
    </w:p>
    <w:p w:rsidR="009A7ABC" w:rsidRPr="00E14DC7" w:rsidRDefault="009A7ABC" w:rsidP="00E84FFC">
      <w:pPr>
        <w:pStyle w:val="Nagwek1"/>
        <w:numPr>
          <w:ilvl w:val="0"/>
          <w:numId w:val="1"/>
        </w:numPr>
        <w:rPr>
          <w:rFonts w:asciiTheme="minorHAnsi" w:hAnsiTheme="minorHAnsi" w:cs="Tahoma"/>
          <w:color w:val="632423" w:themeColor="accent2" w:themeShade="80"/>
          <w:sz w:val="28"/>
        </w:rPr>
      </w:pPr>
      <w:bookmarkStart w:id="47" w:name="_Toc306028446"/>
      <w:bookmarkStart w:id="48" w:name="_Toc321135358"/>
      <w:r w:rsidRPr="00E14DC7">
        <w:rPr>
          <w:rFonts w:asciiTheme="minorHAnsi" w:hAnsiTheme="minorHAnsi" w:cs="Tahoma"/>
          <w:color w:val="632423" w:themeColor="accent2" w:themeShade="80"/>
          <w:sz w:val="28"/>
        </w:rPr>
        <w:t>Zadania strategiczne</w:t>
      </w:r>
      <w:bookmarkEnd w:id="47"/>
      <w:bookmarkEnd w:id="48"/>
    </w:p>
    <w:p w:rsidR="009A7ABC" w:rsidRPr="00E14DC7" w:rsidRDefault="009A7ABC" w:rsidP="00E84FFC">
      <w:pPr>
        <w:pStyle w:val="Nagwek1"/>
        <w:numPr>
          <w:ilvl w:val="0"/>
          <w:numId w:val="1"/>
        </w:numPr>
        <w:rPr>
          <w:rFonts w:asciiTheme="minorHAnsi" w:hAnsiTheme="minorHAnsi" w:cs="Tahoma"/>
          <w:color w:val="632423" w:themeColor="accent2" w:themeShade="80"/>
          <w:sz w:val="28"/>
        </w:rPr>
      </w:pPr>
      <w:bookmarkStart w:id="49" w:name="_Toc306028447"/>
      <w:bookmarkStart w:id="50" w:name="_Toc321135359"/>
      <w:r w:rsidRPr="00E14DC7">
        <w:rPr>
          <w:rFonts w:asciiTheme="minorHAnsi" w:hAnsiTheme="minorHAnsi" w:cs="Tahoma"/>
          <w:color w:val="632423" w:themeColor="accent2" w:themeShade="80"/>
          <w:sz w:val="28"/>
        </w:rPr>
        <w:t>System wdrażania</w:t>
      </w:r>
      <w:bookmarkEnd w:id="49"/>
      <w:bookmarkEnd w:id="50"/>
    </w:p>
    <w:p w:rsidR="009A7ABC" w:rsidRPr="00E14DC7" w:rsidRDefault="009A7ABC" w:rsidP="00E84FFC">
      <w:pPr>
        <w:pStyle w:val="Nagwek1"/>
        <w:numPr>
          <w:ilvl w:val="0"/>
          <w:numId w:val="1"/>
        </w:numPr>
        <w:rPr>
          <w:rFonts w:asciiTheme="minorHAnsi" w:hAnsiTheme="minorHAnsi" w:cs="Tahoma"/>
          <w:color w:val="632423" w:themeColor="accent2" w:themeShade="80"/>
          <w:sz w:val="28"/>
        </w:rPr>
      </w:pPr>
      <w:bookmarkStart w:id="51" w:name="_Toc306028448"/>
      <w:bookmarkStart w:id="52" w:name="_Toc321135360"/>
      <w:r w:rsidRPr="00E14DC7">
        <w:rPr>
          <w:rFonts w:asciiTheme="minorHAnsi" w:hAnsiTheme="minorHAnsi" w:cs="Tahoma"/>
          <w:color w:val="632423" w:themeColor="accent2" w:themeShade="80"/>
          <w:sz w:val="28"/>
        </w:rPr>
        <w:t>Monitoring i ewaluacja</w:t>
      </w:r>
      <w:bookmarkEnd w:id="51"/>
      <w:bookmarkEnd w:id="52"/>
    </w:p>
    <w:p w:rsidR="009A7ABC" w:rsidRPr="00885434" w:rsidRDefault="009A7ABC"/>
    <w:p w:rsidR="009A7ABC" w:rsidRPr="00885434" w:rsidRDefault="009A7ABC"/>
    <w:sectPr w:rsidR="009A7ABC" w:rsidRPr="00885434" w:rsidSect="00D41AE0">
      <w:headerReference w:type="default" r:id="rId100"/>
      <w:footerReference w:type="default" r:id="rId101"/>
      <w:footerReference w:type="first" r:id="rId102"/>
      <w:pgSz w:w="11906" w:h="16838"/>
      <w:pgMar w:top="1417" w:right="1417" w:bottom="1417" w:left="1417" w:header="708" w:footer="708"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6D09" w:rsidRDefault="00996D09" w:rsidP="000B3163">
      <w:pPr>
        <w:spacing w:after="0" w:line="240" w:lineRule="auto"/>
      </w:pPr>
      <w:r>
        <w:separator/>
      </w:r>
    </w:p>
  </w:endnote>
  <w:endnote w:type="continuationSeparator" w:id="1">
    <w:p w:rsidR="00996D09" w:rsidRDefault="00996D09" w:rsidP="000B31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MyriadPro-Regular">
    <w:panose1 w:val="00000000000000000000"/>
    <w:charset w:val="EE"/>
    <w:family w:val="auto"/>
    <w:notTrueType/>
    <w:pitch w:val="default"/>
    <w:sig w:usb0="00000005" w:usb1="00000000" w:usb2="00000000" w:usb3="00000000" w:csb0="00000002" w:csb1="00000000"/>
  </w:font>
  <w:font w:name="ArialMT">
    <w:altName w:val="MS Mincho"/>
    <w:panose1 w:val="00000000000000000000"/>
    <w:charset w:val="80"/>
    <w:family w:val="auto"/>
    <w:notTrueType/>
    <w:pitch w:val="default"/>
    <w:sig w:usb0="00000007" w:usb1="08070000" w:usb2="00000010" w:usb3="00000000" w:csb0="00020003" w:csb1="00000000"/>
  </w:font>
  <w:font w:name="ACaslonPro-Regular">
    <w:panose1 w:val="00000000000000000000"/>
    <w:charset w:val="EE"/>
    <w:family w:val="roman"/>
    <w:notTrueType/>
    <w:pitch w:val="default"/>
    <w:sig w:usb0="00000005" w:usb1="00000000" w:usb2="00000000" w:usb3="00000000" w:csb0="00000002" w:csb1="00000000"/>
  </w:font>
  <w:font w:name="ACaslonPro-Semibold">
    <w:panose1 w:val="00000000000000000000"/>
    <w:charset w:val="EE"/>
    <w:family w:val="roman"/>
    <w:notTrueType/>
    <w:pitch w:val="default"/>
    <w:sig w:usb0="00000005" w:usb1="00000000" w:usb2="00000000" w:usb3="00000000" w:csb0="00000002" w:csb1="00000000"/>
  </w:font>
  <w:font w:name="Arial-ItalicMT">
    <w:panose1 w:val="00000000000000000000"/>
    <w:charset w:val="EE"/>
    <w:family w:val="auto"/>
    <w:notTrueType/>
    <w:pitch w:val="default"/>
    <w:sig w:usb0="00000005" w:usb1="00000000" w:usb2="00000000" w:usb3="00000000" w:csb0="00000002" w:csb1="00000000"/>
  </w:font>
  <w:font w:name="Helvetica">
    <w:panose1 w:val="020B0604020202030204"/>
    <w:charset w:val="EE"/>
    <w:family w:val="swiss"/>
    <w:pitch w:val="variable"/>
    <w:sig w:usb0="00000007" w:usb1="00000000" w:usb2="00000000" w:usb3="00000000" w:csb0="00000093" w:csb1="00000000"/>
  </w:font>
  <w:font w:name="Arial">
    <w:panose1 w:val="020B0604020202020204"/>
    <w:charset w:val="EE"/>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
    <w:panose1 w:val="02020603060405020304"/>
    <w:charset w:val="EE"/>
    <w:family w:val="roman"/>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CA0" w:rsidRDefault="00291CA0">
    <w:pPr>
      <w:pStyle w:val="Stopka"/>
      <w:jc w:val="right"/>
    </w:pPr>
  </w:p>
  <w:sdt>
    <w:sdtPr>
      <w:id w:val="11334644"/>
      <w:docPartObj>
        <w:docPartGallery w:val="Page Numbers (Bottom of Page)"/>
        <w:docPartUnique/>
      </w:docPartObj>
    </w:sdtPr>
    <w:sdtContent>
      <w:p w:rsidR="00291CA0" w:rsidRDefault="00291CA0" w:rsidP="00BB4726">
        <w:pPr>
          <w:pStyle w:val="Stopka"/>
          <w:jc w:val="right"/>
        </w:pPr>
        <w:r>
          <w:rPr>
            <w:noProof/>
          </w:rPr>
          <w:pict>
            <v:shapetype id="_x0000_t32" coordsize="21600,21600" o:spt="32" o:oned="t" path="m,l21600,21600e" filled="f">
              <v:path arrowok="t" fillok="f" o:connecttype="none"/>
              <o:lock v:ext="edit" shapetype="t"/>
            </v:shapetype>
            <v:shape id="_x0000_s16386" type="#_x0000_t32" style="position:absolute;left:0;text-align:left;margin-left:5.35pt;margin-top:-5.4pt;width:453.75pt;height:.8pt;z-index:251663360;mso-position-horizontal-relative:text;mso-position-vertical-relative:text" o:connectortype="straight" strokecolor="#365f91 [2404]" strokeweight="2.5pt">
              <v:shadow on="t" color="#868686" opacity=".5" offset="6pt,-6pt"/>
            </v:shape>
          </w:pict>
        </w:r>
        <w:fldSimple w:instr=" PAGE   \* MERGEFORMAT ">
          <w:r w:rsidR="0010206F">
            <w:rPr>
              <w:noProof/>
            </w:rPr>
            <w:t>- 3 -</w:t>
          </w:r>
        </w:fldSimple>
      </w:p>
    </w:sdtContent>
  </w:sdt>
  <w:p w:rsidR="00291CA0" w:rsidRDefault="00291CA0" w:rsidP="00BB4726">
    <w:pPr>
      <w:pStyle w:val="Stopka"/>
    </w:pPr>
    <w:r>
      <w:rPr>
        <w:noProof/>
      </w:rPr>
      <w:drawing>
        <wp:anchor distT="0" distB="0" distL="114300" distR="114300" simplePos="0" relativeHeight="251666432" behindDoc="0" locked="0" layoutInCell="1" allowOverlap="1">
          <wp:simplePos x="0" y="0"/>
          <wp:positionH relativeFrom="column">
            <wp:posOffset>23022</wp:posOffset>
          </wp:positionH>
          <wp:positionV relativeFrom="paragraph">
            <wp:posOffset>-140926</wp:posOffset>
          </wp:positionV>
          <wp:extent cx="576374" cy="318977"/>
          <wp:effectExtent l="19050" t="0" r="0" b="0"/>
          <wp:wrapSquare wrapText="bothSides"/>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374" cy="318977"/>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CA0" w:rsidRDefault="00291CA0" w:rsidP="001350CF">
    <w:pPr>
      <w:pStyle w:val="Stopka"/>
      <w:jc w:val="center"/>
    </w:pPr>
    <w:r w:rsidRPr="001350CF">
      <w:rPr>
        <w:noProof/>
      </w:rPr>
      <w:drawing>
        <wp:inline distT="0" distB="0" distL="0" distR="0">
          <wp:extent cx="1233170" cy="680720"/>
          <wp:effectExtent l="19050" t="0" r="5080" b="0"/>
          <wp:docPr id="3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233170" cy="68072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6D09" w:rsidRDefault="00996D09" w:rsidP="000B3163">
      <w:pPr>
        <w:spacing w:after="0" w:line="240" w:lineRule="auto"/>
      </w:pPr>
      <w:r>
        <w:separator/>
      </w:r>
    </w:p>
  </w:footnote>
  <w:footnote w:type="continuationSeparator" w:id="1">
    <w:p w:rsidR="00996D09" w:rsidRDefault="00996D09" w:rsidP="000B3163">
      <w:pPr>
        <w:spacing w:after="0" w:line="240" w:lineRule="auto"/>
      </w:pPr>
      <w:r>
        <w:continuationSeparator/>
      </w:r>
    </w:p>
  </w:footnote>
  <w:footnote w:id="2">
    <w:p w:rsidR="00291CA0" w:rsidRPr="005B638D" w:rsidRDefault="00291CA0" w:rsidP="00810E49">
      <w:pPr>
        <w:pStyle w:val="Tekstprzypisudolnego"/>
        <w:rPr>
          <w:rFonts w:cstheme="minorHAnsi"/>
          <w:sz w:val="18"/>
          <w:szCs w:val="18"/>
        </w:rPr>
      </w:pPr>
      <w:r w:rsidRPr="005B638D">
        <w:rPr>
          <w:rStyle w:val="Odwoanieprzypisudolnego"/>
          <w:rFonts w:cstheme="minorHAnsi"/>
          <w:sz w:val="18"/>
          <w:szCs w:val="18"/>
        </w:rPr>
        <w:footnoteRef/>
      </w:r>
      <w:r w:rsidRPr="005B638D">
        <w:rPr>
          <w:rFonts w:cstheme="minorHAnsi"/>
          <w:sz w:val="18"/>
          <w:szCs w:val="18"/>
        </w:rPr>
        <w:t xml:space="preserve"> </w:t>
      </w:r>
      <w:r>
        <w:rPr>
          <w:rFonts w:cstheme="minorHAnsi"/>
          <w:sz w:val="18"/>
          <w:szCs w:val="18"/>
        </w:rPr>
        <w:t>Liczba pracujących według faktycznego miejsca pracy, bez podmiotów gospodarczych o liczbie pracujących do 9 osób oraz pracujących w gospodarstwach indywidualnych w rolnictwie</w:t>
      </w:r>
      <w:r w:rsidRPr="005B638D">
        <w:rPr>
          <w:rFonts w:cstheme="minorHAnsi"/>
          <w:sz w:val="18"/>
          <w:szCs w:val="18"/>
        </w:rPr>
        <w:t>.</w:t>
      </w:r>
    </w:p>
  </w:footnote>
  <w:footnote w:id="3">
    <w:p w:rsidR="00291CA0" w:rsidRDefault="00291CA0" w:rsidP="0086272F">
      <w:pPr>
        <w:pStyle w:val="Tekstprzypisudolnego"/>
        <w:jc w:val="both"/>
      </w:pPr>
      <w:r>
        <w:rPr>
          <w:rStyle w:val="Odwoanieprzypisudolnego"/>
        </w:rPr>
        <w:footnoteRef/>
      </w:r>
      <w:r>
        <w:t xml:space="preserve"> </w:t>
      </w:r>
      <w:r w:rsidRPr="0086272F">
        <w:rPr>
          <w:sz w:val="18"/>
        </w:rPr>
        <w:t>Mikroprzedsiębiorstwa zatrudniają średniorocznie 0-9 pracowników, małe przedsiębiorstwa 10-49 pracowników, średnie przedsiębiorstwa 50-249 pracowników.</w:t>
      </w:r>
    </w:p>
  </w:footnote>
  <w:footnote w:id="4">
    <w:p w:rsidR="00291CA0" w:rsidRDefault="00291CA0" w:rsidP="00F9036A">
      <w:pPr>
        <w:pStyle w:val="Tekstprzypisudolnego"/>
        <w:jc w:val="both"/>
      </w:pPr>
      <w:r>
        <w:rPr>
          <w:rStyle w:val="Odwoanieprzypisudolnego"/>
        </w:rPr>
        <w:footnoteRef/>
      </w:r>
      <w:r>
        <w:t xml:space="preserve"> </w:t>
      </w:r>
      <w:r w:rsidRPr="00C77E63">
        <w:rPr>
          <w:sz w:val="18"/>
        </w:rPr>
        <w:t>Badane były przepływy osób zatrudnionych na podstawie stosunku pracy według stanu w dniu 31 XII 2006. W badaniu za dojeżdżającego do pracy uważa się osobę spełniającą następujący warunek: gmina zamieszkania różna od gminy miejsca pracy oraz podwyższone koszty uzyskania przychodu z tytułu dojazdów do pracy. Z uwagi na metodykę badania oraz jego eksperymentalny charakter - wartości liczbowe należy traktować jako szacunkowe.</w:t>
      </w:r>
    </w:p>
  </w:footnote>
  <w:footnote w:id="5">
    <w:p w:rsidR="00291CA0" w:rsidRPr="00EE6025" w:rsidRDefault="00291CA0">
      <w:pPr>
        <w:pStyle w:val="Tekstprzypisudolnego"/>
        <w:rPr>
          <w:sz w:val="16"/>
        </w:rPr>
      </w:pPr>
      <w:r w:rsidRPr="00EE6025">
        <w:rPr>
          <w:rStyle w:val="Odwoanieprzypisudolnego"/>
          <w:sz w:val="16"/>
        </w:rPr>
        <w:footnoteRef/>
      </w:r>
      <w:r w:rsidRPr="00EE6025">
        <w:rPr>
          <w:sz w:val="16"/>
        </w:rPr>
        <w:t xml:space="preserve"> Na podstawie http://www.s5-gniezno-poznan.pl</w:t>
      </w:r>
    </w:p>
  </w:footnote>
  <w:footnote w:id="6">
    <w:p w:rsidR="00291CA0" w:rsidRPr="00E63EA6" w:rsidRDefault="00291CA0" w:rsidP="00485D3B">
      <w:pPr>
        <w:pStyle w:val="Tekstprzypisudolnego"/>
        <w:jc w:val="both"/>
        <w:rPr>
          <w:sz w:val="18"/>
        </w:rPr>
      </w:pPr>
      <w:r w:rsidRPr="00E63EA6">
        <w:rPr>
          <w:rStyle w:val="Odwoanieprzypisudolnego"/>
          <w:sz w:val="18"/>
        </w:rPr>
        <w:footnoteRef/>
      </w:r>
      <w:r w:rsidRPr="00E63EA6">
        <w:rPr>
          <w:sz w:val="18"/>
        </w:rPr>
        <w:t xml:space="preserve"> Na podstawie „Studium uwarunkowań i kierunków zagospodarowania przestrzennego Miasta i Gminy Pobiedziska”</w:t>
      </w:r>
    </w:p>
  </w:footnote>
  <w:footnote w:id="7">
    <w:p w:rsidR="00291CA0" w:rsidRDefault="00291CA0">
      <w:pPr>
        <w:pStyle w:val="Tekstprzypisudolnego"/>
      </w:pPr>
      <w:r>
        <w:rPr>
          <w:rStyle w:val="Odwoanieprzypisudolnego"/>
        </w:rPr>
        <w:footnoteRef/>
      </w:r>
      <w:r>
        <w:t xml:space="preserve"> </w:t>
      </w:r>
      <w:r w:rsidRPr="002B4F95">
        <w:rPr>
          <w:sz w:val="18"/>
          <w:szCs w:val="18"/>
        </w:rPr>
        <w:t>Na podstawie „</w:t>
      </w:r>
      <w:r w:rsidRPr="002B4F95">
        <w:rPr>
          <w:rFonts w:cs="Arial-ItalicMT"/>
          <w:iCs/>
          <w:sz w:val="18"/>
          <w:szCs w:val="18"/>
        </w:rPr>
        <w:t>Planu rozwoju komunikacji transportu publicznego-autobusowego gminy Pobiedziska”</w:t>
      </w:r>
      <w:r>
        <w:rPr>
          <w:rFonts w:cs="Arial-ItalicMT"/>
          <w:iCs/>
          <w:sz w:val="18"/>
          <w:szCs w:val="18"/>
        </w:rPr>
        <w:t xml:space="preserve"> opracowanie z 2009 r.</w:t>
      </w:r>
    </w:p>
  </w:footnote>
  <w:footnote w:id="8">
    <w:p w:rsidR="00291CA0" w:rsidRPr="009A2EE9" w:rsidRDefault="00291CA0">
      <w:pPr>
        <w:pStyle w:val="Tekstprzypisudolnego"/>
        <w:rPr>
          <w:sz w:val="18"/>
        </w:rPr>
      </w:pPr>
      <w:r w:rsidRPr="009A2EE9">
        <w:rPr>
          <w:rStyle w:val="Odwoanieprzypisudolnego"/>
          <w:sz w:val="18"/>
        </w:rPr>
        <w:footnoteRef/>
      </w:r>
      <w:r w:rsidRPr="009A2EE9">
        <w:rPr>
          <w:sz w:val="18"/>
        </w:rPr>
        <w:t xml:space="preserve"> Studium zagosp</w:t>
      </w:r>
      <w:r>
        <w:rPr>
          <w:sz w:val="18"/>
        </w:rPr>
        <w:t>odarowania przestrzennego gminy, opracowane w 2011 r.</w:t>
      </w:r>
    </w:p>
  </w:footnote>
  <w:footnote w:id="9">
    <w:p w:rsidR="00291CA0" w:rsidRPr="00A72341" w:rsidRDefault="00291CA0" w:rsidP="00940C4A">
      <w:pPr>
        <w:pStyle w:val="Tekstprzypisudolnego"/>
        <w:jc w:val="both"/>
        <w:rPr>
          <w:rFonts w:ascii="Calibri" w:hAnsi="Calibri"/>
          <w:sz w:val="18"/>
        </w:rPr>
      </w:pPr>
      <w:r w:rsidRPr="00A72341">
        <w:rPr>
          <w:rStyle w:val="Odwoanieprzypisudolnego"/>
          <w:rFonts w:ascii="Calibri" w:hAnsi="Calibri"/>
          <w:sz w:val="18"/>
        </w:rPr>
        <w:footnoteRef/>
      </w:r>
      <w:r w:rsidRPr="00A72341">
        <w:rPr>
          <w:rFonts w:ascii="Calibri" w:hAnsi="Calibri"/>
          <w:sz w:val="18"/>
        </w:rPr>
        <w:t xml:space="preserve"> Na podstawie: J. Zawora, </w:t>
      </w:r>
      <w:r w:rsidRPr="00A72341">
        <w:rPr>
          <w:rFonts w:ascii="Calibri" w:hAnsi="Calibri"/>
          <w:i/>
          <w:sz w:val="18"/>
        </w:rPr>
        <w:t>Samodzielność finansowa samorządu gminnego</w:t>
      </w:r>
      <w:r w:rsidRPr="00A72341">
        <w:rPr>
          <w:rFonts w:ascii="Calibri" w:hAnsi="Calibri"/>
          <w:sz w:val="18"/>
        </w:rPr>
        <w:t>, Wydawnictwo Uniwersytetu Rzeszowskiego, Rzeszów 2008, s. 190</w:t>
      </w:r>
    </w:p>
  </w:footnote>
  <w:footnote w:id="10">
    <w:p w:rsidR="00291CA0" w:rsidRDefault="00291CA0" w:rsidP="00896D6D">
      <w:pPr>
        <w:pStyle w:val="Tekstprzypisudolnego"/>
        <w:jc w:val="both"/>
      </w:pPr>
      <w:r>
        <w:rPr>
          <w:rStyle w:val="Odwoanieprzypisudolnego"/>
        </w:rPr>
        <w:footnoteRef/>
      </w:r>
      <w:r>
        <w:t xml:space="preserve"> </w:t>
      </w:r>
      <w:r w:rsidRPr="00896D6D">
        <w:rPr>
          <w:sz w:val="18"/>
        </w:rPr>
        <w:t xml:space="preserve">Na podstawie danych </w:t>
      </w:r>
      <w:r>
        <w:rPr>
          <w:sz w:val="18"/>
        </w:rPr>
        <w:t xml:space="preserve">zawartych w </w:t>
      </w:r>
      <w:r w:rsidRPr="00896D6D">
        <w:rPr>
          <w:sz w:val="18"/>
        </w:rPr>
        <w:t>„Wieloletni</w:t>
      </w:r>
      <w:r>
        <w:rPr>
          <w:sz w:val="18"/>
        </w:rPr>
        <w:t>m</w:t>
      </w:r>
      <w:r w:rsidRPr="00896D6D">
        <w:rPr>
          <w:sz w:val="18"/>
        </w:rPr>
        <w:t xml:space="preserve"> program</w:t>
      </w:r>
      <w:r>
        <w:rPr>
          <w:sz w:val="18"/>
        </w:rPr>
        <w:t>ie</w:t>
      </w:r>
      <w:r w:rsidRPr="00896D6D">
        <w:rPr>
          <w:sz w:val="18"/>
        </w:rPr>
        <w:t xml:space="preserve"> gospodarowania mieszkaniowym zasobem gminy Pobiedziska na lata 2011-2016”</w:t>
      </w:r>
    </w:p>
  </w:footnote>
  <w:footnote w:id="11">
    <w:p w:rsidR="00291CA0" w:rsidRPr="00E06299" w:rsidRDefault="00291CA0">
      <w:pPr>
        <w:pStyle w:val="Tekstprzypisudolnego"/>
        <w:rPr>
          <w:sz w:val="18"/>
        </w:rPr>
      </w:pPr>
      <w:r w:rsidRPr="00E06299">
        <w:rPr>
          <w:rStyle w:val="Odwoanieprzypisudolnego"/>
          <w:sz w:val="18"/>
        </w:rPr>
        <w:footnoteRef/>
      </w:r>
      <w:r w:rsidRPr="00E06299">
        <w:rPr>
          <w:sz w:val="18"/>
        </w:rPr>
        <w:t xml:space="preserve"> Na podstawie „Programu opieki nad zabytkami Gminy Pobiedziska na lata 2011-2014”</w:t>
      </w:r>
    </w:p>
  </w:footnote>
  <w:footnote w:id="12">
    <w:p w:rsidR="00291CA0" w:rsidRPr="00F03DEA" w:rsidRDefault="00291CA0">
      <w:pPr>
        <w:pStyle w:val="Tekstprzypisudolnego"/>
        <w:rPr>
          <w:sz w:val="18"/>
        </w:rPr>
      </w:pPr>
      <w:r w:rsidRPr="00F03DEA">
        <w:rPr>
          <w:rStyle w:val="Odwoanieprzypisudolnego"/>
          <w:sz w:val="18"/>
        </w:rPr>
        <w:footnoteRef/>
      </w:r>
      <w:r w:rsidRPr="00F03DEA">
        <w:rPr>
          <w:sz w:val="18"/>
        </w:rPr>
        <w:t xml:space="preserve"> Na podstawie „Studium uwarunkowań i kierunków zagospodarowania przestrzennego Gminy Pobiedziska”.</w:t>
      </w:r>
    </w:p>
  </w:footnote>
  <w:footnote w:id="13">
    <w:p w:rsidR="00291CA0" w:rsidRPr="00237D57" w:rsidRDefault="00291CA0" w:rsidP="00237D57">
      <w:pPr>
        <w:autoSpaceDE w:val="0"/>
        <w:autoSpaceDN w:val="0"/>
        <w:adjustRightInd w:val="0"/>
        <w:spacing w:after="0" w:line="240" w:lineRule="auto"/>
        <w:jc w:val="both"/>
        <w:rPr>
          <w:rFonts w:cs="Times"/>
          <w:i/>
          <w:iCs/>
          <w:sz w:val="18"/>
          <w:szCs w:val="18"/>
        </w:rPr>
      </w:pPr>
      <w:r w:rsidRPr="00237D57">
        <w:rPr>
          <w:rStyle w:val="Odwoanieprzypisudolnego"/>
          <w:sz w:val="18"/>
          <w:szCs w:val="18"/>
        </w:rPr>
        <w:footnoteRef/>
      </w:r>
      <w:r w:rsidRPr="00237D57">
        <w:rPr>
          <w:sz w:val="18"/>
          <w:szCs w:val="18"/>
        </w:rPr>
        <w:t xml:space="preserve"> </w:t>
      </w:r>
      <w:r w:rsidRPr="00237D57">
        <w:rPr>
          <w:rFonts w:cs="Times"/>
          <w:sz w:val="18"/>
          <w:szCs w:val="18"/>
        </w:rPr>
        <w:t>R. Brol</w:t>
      </w:r>
      <w:r w:rsidRPr="00237D57">
        <w:rPr>
          <w:rFonts w:cs="Times"/>
          <w:i/>
          <w:iCs/>
          <w:sz w:val="18"/>
          <w:szCs w:val="18"/>
        </w:rPr>
        <w:t xml:space="preserve">, Teoria i praktyka planowania strategicznego w małych miastach, </w:t>
      </w:r>
      <w:r w:rsidRPr="00237D57">
        <w:rPr>
          <w:rFonts w:cs="Times"/>
          <w:sz w:val="18"/>
          <w:szCs w:val="18"/>
        </w:rPr>
        <w:t xml:space="preserve">w: </w:t>
      </w:r>
      <w:r>
        <w:rPr>
          <w:rFonts w:cs="Times"/>
          <w:i/>
          <w:iCs/>
          <w:sz w:val="18"/>
          <w:szCs w:val="18"/>
        </w:rPr>
        <w:t xml:space="preserve">Małe miasta a rozwój lokalny </w:t>
      </w:r>
      <w:r w:rsidRPr="00237D57">
        <w:rPr>
          <w:rFonts w:cs="Times"/>
          <w:i/>
          <w:iCs/>
          <w:sz w:val="18"/>
          <w:szCs w:val="18"/>
        </w:rPr>
        <w:t>i regionalny</w:t>
      </w:r>
      <w:r w:rsidRPr="00237D57">
        <w:rPr>
          <w:rFonts w:cs="Times"/>
          <w:sz w:val="18"/>
          <w:szCs w:val="18"/>
        </w:rPr>
        <w:t>, red. K. Heffner, AE w Katowicach, Katowice 2005, s. 109-110.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CA0" w:rsidRPr="00B06FBE" w:rsidRDefault="00291CA0" w:rsidP="00B06FBE">
    <w:pPr>
      <w:pStyle w:val="Nagwek"/>
      <w:ind w:firstLine="1416"/>
      <w:rPr>
        <w:b/>
        <w:i/>
        <w:shadow/>
        <w:color w:val="365F91" w:themeColor="accent1" w:themeShade="BF"/>
      </w:rPr>
    </w:pPr>
    <w:r w:rsidRPr="00B06FBE">
      <w:rPr>
        <w:b/>
        <w:i/>
        <w:shadow/>
        <w:noProof/>
        <w:color w:val="365F91" w:themeColor="accent1" w:themeShade="BF"/>
      </w:rPr>
      <w:drawing>
        <wp:anchor distT="0" distB="0" distL="114300" distR="114300" simplePos="0" relativeHeight="251667456" behindDoc="0" locked="0" layoutInCell="1" allowOverlap="1">
          <wp:simplePos x="0" y="0"/>
          <wp:positionH relativeFrom="column">
            <wp:posOffset>-30480</wp:posOffset>
          </wp:positionH>
          <wp:positionV relativeFrom="paragraph">
            <wp:posOffset>-247650</wp:posOffset>
          </wp:positionV>
          <wp:extent cx="549275" cy="520700"/>
          <wp:effectExtent l="19050" t="0" r="3175" b="0"/>
          <wp:wrapSquare wrapText="bothSides"/>
          <wp:docPr id="2" name="Obraz 2" descr="C:\Users\Iwon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Pictures\logo.jpg"/>
                  <pic:cNvPicPr>
                    <a:picLocks noChangeAspect="1" noChangeArrowheads="1"/>
                  </pic:cNvPicPr>
                </pic:nvPicPr>
                <pic:blipFill>
                  <a:blip r:embed="rId1"/>
                  <a:srcRect/>
                  <a:stretch>
                    <a:fillRect/>
                  </a:stretch>
                </pic:blipFill>
                <pic:spPr bwMode="auto">
                  <a:xfrm>
                    <a:off x="0" y="0"/>
                    <a:ext cx="549275" cy="520700"/>
                  </a:xfrm>
                  <a:prstGeom prst="rect">
                    <a:avLst/>
                  </a:prstGeom>
                  <a:noFill/>
                  <a:ln w="9525">
                    <a:noFill/>
                    <a:miter lim="800000"/>
                    <a:headEnd/>
                    <a:tailEnd/>
                  </a:ln>
                </pic:spPr>
              </pic:pic>
            </a:graphicData>
          </a:graphic>
        </wp:anchor>
      </w:drawing>
    </w:r>
    <w:r w:rsidRPr="00B06FBE">
      <w:rPr>
        <w:b/>
        <w:i/>
        <w:shadow/>
        <w:color w:val="365F91" w:themeColor="accent1" w:themeShade="BF"/>
      </w:rPr>
      <w:t>Strategia Rozwoju Miasta i Gminy Pobiedziska na lata 2012-2022</w:t>
    </w:r>
  </w:p>
  <w:p w:rsidR="00291CA0" w:rsidRPr="00BB4726" w:rsidRDefault="00291CA0" w:rsidP="00B06FBE">
    <w:pPr>
      <w:pStyle w:val="Nagwek"/>
      <w:rPr>
        <w:b/>
        <w:i/>
        <w:shadow/>
        <w:color w:val="632423" w:themeColor="accent2" w:themeShade="80"/>
      </w:rPr>
    </w:pPr>
    <w:r>
      <w:rPr>
        <w:b/>
        <w:i/>
        <w:shadow/>
        <w:noProof/>
        <w:color w:val="632423" w:themeColor="accent2" w:themeShade="80"/>
      </w:rPr>
      <w:pict>
        <v:shapetype id="_x0000_t32" coordsize="21600,21600" o:spt="32" o:oned="t" path="m,l21600,21600e" filled="f">
          <v:path arrowok="t" fillok="f" o:connecttype="none"/>
          <o:lock v:ext="edit" shapetype="t"/>
        </v:shapetype>
        <v:shape id="_x0000_s16387" type="#_x0000_t32" style="position:absolute;margin-left:-1.35pt;margin-top:10.65pt;width:453.75pt;height:.8pt;z-index:251664384" o:connectortype="straight" strokecolor="#365f91 [2404]" strokeweight="2.5pt">
          <v:shadow on="t" color="#868686" opacity=".5" offset="-6pt,6p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50B81"/>
    <w:multiLevelType w:val="hybridMultilevel"/>
    <w:tmpl w:val="0066B7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C7229CF"/>
    <w:multiLevelType w:val="hybridMultilevel"/>
    <w:tmpl w:val="2EF6024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CA7173A"/>
    <w:multiLevelType w:val="hybridMultilevel"/>
    <w:tmpl w:val="8FE844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FF4C47"/>
    <w:multiLevelType w:val="hybridMultilevel"/>
    <w:tmpl w:val="FF8C2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FA96DD9"/>
    <w:multiLevelType w:val="hybridMultilevel"/>
    <w:tmpl w:val="FFFC23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346204F"/>
    <w:multiLevelType w:val="hybridMultilevel"/>
    <w:tmpl w:val="A4E2DF80"/>
    <w:lvl w:ilvl="0" w:tplc="B3FA17A4">
      <w:start w:val="1"/>
      <w:numFmt w:val="lowerLetter"/>
      <w:lvlText w:val="%1)"/>
      <w:lvlJc w:val="left"/>
      <w:pPr>
        <w:ind w:left="1080" w:hanging="360"/>
      </w:pPr>
      <w:rPr>
        <w:rFonts w:asciiTheme="minorHAnsi" w:hAnsiTheme="minorHAnsi" w:cstheme="minorHAnsi" w:hint="default"/>
        <w:b w:val="0"/>
        <w:color w:val="auto"/>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13C646B1"/>
    <w:multiLevelType w:val="hybridMultilevel"/>
    <w:tmpl w:val="13D06318"/>
    <w:lvl w:ilvl="0" w:tplc="003EA778">
      <w:start w:val="1"/>
      <w:numFmt w:val="upperLetter"/>
      <w:lvlText w:val="%1)"/>
      <w:lvlJc w:val="left"/>
      <w:pPr>
        <w:ind w:left="720" w:hanging="360"/>
      </w:pPr>
      <w:rPr>
        <w:rFonts w:asciiTheme="minorHAnsi" w:hAnsiTheme="minorHAnsi" w:cstheme="minorHAns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57B4DA7"/>
    <w:multiLevelType w:val="hybridMultilevel"/>
    <w:tmpl w:val="83E0AF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61262B8"/>
    <w:multiLevelType w:val="hybridMultilevel"/>
    <w:tmpl w:val="F5543D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84F42B4"/>
    <w:multiLevelType w:val="hybridMultilevel"/>
    <w:tmpl w:val="5F3ABD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BD868B5"/>
    <w:multiLevelType w:val="hybridMultilevel"/>
    <w:tmpl w:val="715EAE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F2C0DC7"/>
    <w:multiLevelType w:val="hybridMultilevel"/>
    <w:tmpl w:val="8EB2DA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5BA1CBA"/>
    <w:multiLevelType w:val="hybridMultilevel"/>
    <w:tmpl w:val="D4403E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6B829C8"/>
    <w:multiLevelType w:val="hybridMultilevel"/>
    <w:tmpl w:val="B02AEB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737244C"/>
    <w:multiLevelType w:val="hybridMultilevel"/>
    <w:tmpl w:val="8550C5EA"/>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275E06D2"/>
    <w:multiLevelType w:val="hybridMultilevel"/>
    <w:tmpl w:val="C70E161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9AC6D12"/>
    <w:multiLevelType w:val="hybridMultilevel"/>
    <w:tmpl w:val="365E27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AD27769"/>
    <w:multiLevelType w:val="hybridMultilevel"/>
    <w:tmpl w:val="C6A679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B8666A5"/>
    <w:multiLevelType w:val="hybridMultilevel"/>
    <w:tmpl w:val="9CBC62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C2658E8"/>
    <w:multiLevelType w:val="hybridMultilevel"/>
    <w:tmpl w:val="042C6E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8F1460C"/>
    <w:multiLevelType w:val="hybridMultilevel"/>
    <w:tmpl w:val="654A52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9B17E7D"/>
    <w:multiLevelType w:val="hybridMultilevel"/>
    <w:tmpl w:val="89AC0A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D331A8C"/>
    <w:multiLevelType w:val="hybridMultilevel"/>
    <w:tmpl w:val="2C9A9E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F571AF9"/>
    <w:multiLevelType w:val="hybridMultilevel"/>
    <w:tmpl w:val="081A4C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1D42ABC"/>
    <w:multiLevelType w:val="hybridMultilevel"/>
    <w:tmpl w:val="482E93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43B5D93"/>
    <w:multiLevelType w:val="multilevel"/>
    <w:tmpl w:val="C90C5B68"/>
    <w:lvl w:ilvl="0">
      <w:start w:val="1"/>
      <w:numFmt w:val="upperRoman"/>
      <w:lvlText w:val="%1."/>
      <w:lvlJc w:val="right"/>
      <w:pPr>
        <w:ind w:left="720" w:hanging="360"/>
      </w:p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764" w:hanging="144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957" w:hanging="2160"/>
      </w:pPr>
      <w:rPr>
        <w:rFonts w:hint="default"/>
      </w:rPr>
    </w:lvl>
    <w:lvl w:ilvl="8">
      <w:start w:val="1"/>
      <w:numFmt w:val="decimal"/>
      <w:isLgl/>
      <w:lvlText w:val="%1.%2.%3.%4.%5.%6.%7.%8.%9."/>
      <w:lvlJc w:val="left"/>
      <w:pPr>
        <w:ind w:left="6448" w:hanging="2160"/>
      </w:pPr>
      <w:rPr>
        <w:rFonts w:hint="default"/>
      </w:rPr>
    </w:lvl>
  </w:abstractNum>
  <w:abstractNum w:abstractNumId="26">
    <w:nsid w:val="48854E63"/>
    <w:multiLevelType w:val="hybridMultilevel"/>
    <w:tmpl w:val="6A26B9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A032A5E"/>
    <w:multiLevelType w:val="hybridMultilevel"/>
    <w:tmpl w:val="9CBC62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AD76AF4"/>
    <w:multiLevelType w:val="hybridMultilevel"/>
    <w:tmpl w:val="DC508C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0AA4E86"/>
    <w:multiLevelType w:val="hybridMultilevel"/>
    <w:tmpl w:val="77FA3F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4807B37"/>
    <w:multiLevelType w:val="hybridMultilevel"/>
    <w:tmpl w:val="EBF480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B662DCA"/>
    <w:multiLevelType w:val="hybridMultilevel"/>
    <w:tmpl w:val="A77247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C41712B"/>
    <w:multiLevelType w:val="hybridMultilevel"/>
    <w:tmpl w:val="8CFC0B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C6B3217"/>
    <w:multiLevelType w:val="hybridMultilevel"/>
    <w:tmpl w:val="D6C4B2A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DDE50A6"/>
    <w:multiLevelType w:val="hybridMultilevel"/>
    <w:tmpl w:val="72882B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01E2E60"/>
    <w:multiLevelType w:val="hybridMultilevel"/>
    <w:tmpl w:val="A75C0894"/>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60AF7632"/>
    <w:multiLevelType w:val="hybridMultilevel"/>
    <w:tmpl w:val="81A2A6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11D4ECE"/>
    <w:multiLevelType w:val="hybridMultilevel"/>
    <w:tmpl w:val="EDA6B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2471338"/>
    <w:multiLevelType w:val="hybridMultilevel"/>
    <w:tmpl w:val="F408997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5A07DEA"/>
    <w:multiLevelType w:val="hybridMultilevel"/>
    <w:tmpl w:val="10FC08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6577709"/>
    <w:multiLevelType w:val="hybridMultilevel"/>
    <w:tmpl w:val="709440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D4239CC"/>
    <w:multiLevelType w:val="hybridMultilevel"/>
    <w:tmpl w:val="2FAC59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D983CF8"/>
    <w:multiLevelType w:val="hybridMultilevel"/>
    <w:tmpl w:val="83CCC1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13C699C"/>
    <w:multiLevelType w:val="hybridMultilevel"/>
    <w:tmpl w:val="C9044F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3A834A4"/>
    <w:multiLevelType w:val="hybridMultilevel"/>
    <w:tmpl w:val="7E5E58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6B07DE1"/>
    <w:multiLevelType w:val="hybridMultilevel"/>
    <w:tmpl w:val="42A6671E"/>
    <w:lvl w:ilvl="0" w:tplc="79F296B6">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77B730B"/>
    <w:multiLevelType w:val="hybridMultilevel"/>
    <w:tmpl w:val="2D8CBE9C"/>
    <w:lvl w:ilvl="0" w:tplc="0415000F">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2024656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9975701"/>
    <w:multiLevelType w:val="multilevel"/>
    <w:tmpl w:val="3CA26DD4"/>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9DD531A"/>
    <w:multiLevelType w:val="hybridMultilevel"/>
    <w:tmpl w:val="654A52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ED34BF2"/>
    <w:multiLevelType w:val="hybridMultilevel"/>
    <w:tmpl w:val="ABB855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5"/>
  </w:num>
  <w:num w:numId="2">
    <w:abstractNumId w:val="1"/>
  </w:num>
  <w:num w:numId="3">
    <w:abstractNumId w:val="8"/>
  </w:num>
  <w:num w:numId="4">
    <w:abstractNumId w:val="41"/>
  </w:num>
  <w:num w:numId="5">
    <w:abstractNumId w:val="13"/>
  </w:num>
  <w:num w:numId="6">
    <w:abstractNumId w:val="33"/>
  </w:num>
  <w:num w:numId="7">
    <w:abstractNumId w:val="32"/>
  </w:num>
  <w:num w:numId="8">
    <w:abstractNumId w:val="29"/>
  </w:num>
  <w:num w:numId="9">
    <w:abstractNumId w:val="0"/>
  </w:num>
  <w:num w:numId="10">
    <w:abstractNumId w:val="44"/>
  </w:num>
  <w:num w:numId="11">
    <w:abstractNumId w:val="4"/>
  </w:num>
  <w:num w:numId="12">
    <w:abstractNumId w:val="10"/>
  </w:num>
  <w:num w:numId="13">
    <w:abstractNumId w:val="38"/>
  </w:num>
  <w:num w:numId="14">
    <w:abstractNumId w:val="28"/>
  </w:num>
  <w:num w:numId="15">
    <w:abstractNumId w:val="31"/>
  </w:num>
  <w:num w:numId="16">
    <w:abstractNumId w:val="42"/>
  </w:num>
  <w:num w:numId="17">
    <w:abstractNumId w:val="2"/>
  </w:num>
  <w:num w:numId="18">
    <w:abstractNumId w:val="34"/>
  </w:num>
  <w:num w:numId="19">
    <w:abstractNumId w:val="23"/>
  </w:num>
  <w:num w:numId="20">
    <w:abstractNumId w:val="47"/>
  </w:num>
  <w:num w:numId="21">
    <w:abstractNumId w:val="43"/>
  </w:num>
  <w:num w:numId="22">
    <w:abstractNumId w:val="17"/>
  </w:num>
  <w:num w:numId="23">
    <w:abstractNumId w:val="15"/>
  </w:num>
  <w:num w:numId="24">
    <w:abstractNumId w:val="19"/>
  </w:num>
  <w:num w:numId="25">
    <w:abstractNumId w:val="24"/>
  </w:num>
  <w:num w:numId="26">
    <w:abstractNumId w:val="7"/>
  </w:num>
  <w:num w:numId="27">
    <w:abstractNumId w:val="48"/>
  </w:num>
  <w:num w:numId="28">
    <w:abstractNumId w:val="20"/>
  </w:num>
  <w:num w:numId="29">
    <w:abstractNumId w:val="36"/>
  </w:num>
  <w:num w:numId="30">
    <w:abstractNumId w:val="18"/>
  </w:num>
  <w:num w:numId="31">
    <w:abstractNumId w:val="27"/>
  </w:num>
  <w:num w:numId="32">
    <w:abstractNumId w:val="22"/>
  </w:num>
  <w:num w:numId="33">
    <w:abstractNumId w:val="14"/>
  </w:num>
  <w:num w:numId="34">
    <w:abstractNumId w:val="35"/>
  </w:num>
  <w:num w:numId="35">
    <w:abstractNumId w:val="49"/>
  </w:num>
  <w:num w:numId="36">
    <w:abstractNumId w:val="46"/>
  </w:num>
  <w:num w:numId="37">
    <w:abstractNumId w:val="37"/>
  </w:num>
  <w:num w:numId="38">
    <w:abstractNumId w:val="9"/>
  </w:num>
  <w:num w:numId="39">
    <w:abstractNumId w:val="30"/>
  </w:num>
  <w:num w:numId="40">
    <w:abstractNumId w:val="40"/>
  </w:num>
  <w:num w:numId="41">
    <w:abstractNumId w:val="12"/>
  </w:num>
  <w:num w:numId="42">
    <w:abstractNumId w:val="11"/>
  </w:num>
  <w:num w:numId="43">
    <w:abstractNumId w:val="16"/>
  </w:num>
  <w:num w:numId="44">
    <w:abstractNumId w:val="21"/>
  </w:num>
  <w:num w:numId="45">
    <w:abstractNumId w:val="26"/>
  </w:num>
  <w:num w:numId="46">
    <w:abstractNumId w:val="39"/>
  </w:num>
  <w:num w:numId="47">
    <w:abstractNumId w:val="6"/>
  </w:num>
  <w:num w:numId="48">
    <w:abstractNumId w:val="45"/>
  </w:num>
  <w:num w:numId="49">
    <w:abstractNumId w:val="5"/>
  </w:num>
  <w:num w:numId="50">
    <w:abstractNumId w:val="3"/>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111618"/>
    <o:shapelayout v:ext="edit">
      <o:idmap v:ext="edit" data="16"/>
      <o:rules v:ext="edit">
        <o:r id="V:Rule3" type="connector" idref="#_x0000_s16387"/>
        <o:r id="V:Rule4" type="connector" idref="#_x0000_s16386"/>
      </o:rules>
    </o:shapelayout>
  </w:hdrShapeDefaults>
  <w:footnotePr>
    <w:footnote w:id="0"/>
    <w:footnote w:id="1"/>
  </w:footnotePr>
  <w:endnotePr>
    <w:endnote w:id="0"/>
    <w:endnote w:id="1"/>
  </w:endnotePr>
  <w:compat>
    <w:useFELayout/>
  </w:compat>
  <w:rsids>
    <w:rsidRoot w:val="009A7ABC"/>
    <w:rsid w:val="00004CFA"/>
    <w:rsid w:val="000109E5"/>
    <w:rsid w:val="00010B7D"/>
    <w:rsid w:val="00011D6D"/>
    <w:rsid w:val="00011E1E"/>
    <w:rsid w:val="00014074"/>
    <w:rsid w:val="00015684"/>
    <w:rsid w:val="00016208"/>
    <w:rsid w:val="00020822"/>
    <w:rsid w:val="0002122D"/>
    <w:rsid w:val="0002324C"/>
    <w:rsid w:val="00024447"/>
    <w:rsid w:val="00024EE7"/>
    <w:rsid w:val="00025E7D"/>
    <w:rsid w:val="00031B63"/>
    <w:rsid w:val="000324E3"/>
    <w:rsid w:val="00035FB1"/>
    <w:rsid w:val="00041F74"/>
    <w:rsid w:val="00042924"/>
    <w:rsid w:val="00044756"/>
    <w:rsid w:val="00044F00"/>
    <w:rsid w:val="00044FD2"/>
    <w:rsid w:val="00044FDA"/>
    <w:rsid w:val="0004520D"/>
    <w:rsid w:val="00051656"/>
    <w:rsid w:val="00051E1E"/>
    <w:rsid w:val="00053303"/>
    <w:rsid w:val="00054298"/>
    <w:rsid w:val="000553E9"/>
    <w:rsid w:val="00057851"/>
    <w:rsid w:val="000603A1"/>
    <w:rsid w:val="00060618"/>
    <w:rsid w:val="000613BB"/>
    <w:rsid w:val="0006326A"/>
    <w:rsid w:val="000664D5"/>
    <w:rsid w:val="000667AD"/>
    <w:rsid w:val="0007063B"/>
    <w:rsid w:val="00071B73"/>
    <w:rsid w:val="00071D88"/>
    <w:rsid w:val="000729DF"/>
    <w:rsid w:val="00074675"/>
    <w:rsid w:val="0007657E"/>
    <w:rsid w:val="00077663"/>
    <w:rsid w:val="000800A5"/>
    <w:rsid w:val="000847EC"/>
    <w:rsid w:val="00087BEC"/>
    <w:rsid w:val="0009614D"/>
    <w:rsid w:val="00097BE8"/>
    <w:rsid w:val="000A2A58"/>
    <w:rsid w:val="000A556D"/>
    <w:rsid w:val="000B1C16"/>
    <w:rsid w:val="000B3163"/>
    <w:rsid w:val="000B37A4"/>
    <w:rsid w:val="000B3D67"/>
    <w:rsid w:val="000B3D7E"/>
    <w:rsid w:val="000C56CC"/>
    <w:rsid w:val="000D1B51"/>
    <w:rsid w:val="000D3DC4"/>
    <w:rsid w:val="000D447A"/>
    <w:rsid w:val="000D508D"/>
    <w:rsid w:val="000D6195"/>
    <w:rsid w:val="000D75B9"/>
    <w:rsid w:val="000D7811"/>
    <w:rsid w:val="000D7F40"/>
    <w:rsid w:val="000E006D"/>
    <w:rsid w:val="000E18BD"/>
    <w:rsid w:val="000E7979"/>
    <w:rsid w:val="000F6426"/>
    <w:rsid w:val="001002C2"/>
    <w:rsid w:val="001019A8"/>
    <w:rsid w:val="0010206F"/>
    <w:rsid w:val="00102C5B"/>
    <w:rsid w:val="00124D86"/>
    <w:rsid w:val="00124F5D"/>
    <w:rsid w:val="001333D2"/>
    <w:rsid w:val="00134DBA"/>
    <w:rsid w:val="001350CF"/>
    <w:rsid w:val="0013513A"/>
    <w:rsid w:val="00135F07"/>
    <w:rsid w:val="0013603A"/>
    <w:rsid w:val="001367B3"/>
    <w:rsid w:val="00136E7F"/>
    <w:rsid w:val="0014164F"/>
    <w:rsid w:val="00141C92"/>
    <w:rsid w:val="001427FC"/>
    <w:rsid w:val="001467AC"/>
    <w:rsid w:val="00146FF8"/>
    <w:rsid w:val="00150BFF"/>
    <w:rsid w:val="0015257C"/>
    <w:rsid w:val="00152B6A"/>
    <w:rsid w:val="001538EA"/>
    <w:rsid w:val="0015443A"/>
    <w:rsid w:val="001555C4"/>
    <w:rsid w:val="00155F49"/>
    <w:rsid w:val="00162F33"/>
    <w:rsid w:val="0016332C"/>
    <w:rsid w:val="00164ED9"/>
    <w:rsid w:val="00165407"/>
    <w:rsid w:val="00185382"/>
    <w:rsid w:val="0018723B"/>
    <w:rsid w:val="00187801"/>
    <w:rsid w:val="00194A26"/>
    <w:rsid w:val="00196057"/>
    <w:rsid w:val="00196283"/>
    <w:rsid w:val="001963F4"/>
    <w:rsid w:val="00197A67"/>
    <w:rsid w:val="001A0D54"/>
    <w:rsid w:val="001A0F2F"/>
    <w:rsid w:val="001A163B"/>
    <w:rsid w:val="001A404D"/>
    <w:rsid w:val="001A7B20"/>
    <w:rsid w:val="001A7D8C"/>
    <w:rsid w:val="001B24FD"/>
    <w:rsid w:val="001B259B"/>
    <w:rsid w:val="001B6800"/>
    <w:rsid w:val="001B74C0"/>
    <w:rsid w:val="001B7B1E"/>
    <w:rsid w:val="001B7FC9"/>
    <w:rsid w:val="001C1356"/>
    <w:rsid w:val="001C36DF"/>
    <w:rsid w:val="001C52B2"/>
    <w:rsid w:val="001D036A"/>
    <w:rsid w:val="001D6F1B"/>
    <w:rsid w:val="001D703E"/>
    <w:rsid w:val="001E690A"/>
    <w:rsid w:val="001F0DCD"/>
    <w:rsid w:val="001F13A6"/>
    <w:rsid w:val="001F26B1"/>
    <w:rsid w:val="001F376B"/>
    <w:rsid w:val="001F40F1"/>
    <w:rsid w:val="00205682"/>
    <w:rsid w:val="002056EA"/>
    <w:rsid w:val="00210EBF"/>
    <w:rsid w:val="00212B4D"/>
    <w:rsid w:val="00213FD6"/>
    <w:rsid w:val="00216F23"/>
    <w:rsid w:val="0022048D"/>
    <w:rsid w:val="0022325D"/>
    <w:rsid w:val="002241B2"/>
    <w:rsid w:val="00225983"/>
    <w:rsid w:val="00227CF9"/>
    <w:rsid w:val="00234865"/>
    <w:rsid w:val="00235A3F"/>
    <w:rsid w:val="00237D57"/>
    <w:rsid w:val="00241F6F"/>
    <w:rsid w:val="00245579"/>
    <w:rsid w:val="002500E6"/>
    <w:rsid w:val="002511E9"/>
    <w:rsid w:val="0025465D"/>
    <w:rsid w:val="00254B0B"/>
    <w:rsid w:val="00256F6C"/>
    <w:rsid w:val="002601A5"/>
    <w:rsid w:val="002650C5"/>
    <w:rsid w:val="0026706F"/>
    <w:rsid w:val="00272229"/>
    <w:rsid w:val="00272F19"/>
    <w:rsid w:val="002804DD"/>
    <w:rsid w:val="002805E6"/>
    <w:rsid w:val="00281F52"/>
    <w:rsid w:val="0028366E"/>
    <w:rsid w:val="00284DB3"/>
    <w:rsid w:val="00285155"/>
    <w:rsid w:val="00286E17"/>
    <w:rsid w:val="00291CA0"/>
    <w:rsid w:val="0029647B"/>
    <w:rsid w:val="002A02E4"/>
    <w:rsid w:val="002A2091"/>
    <w:rsid w:val="002A4CE5"/>
    <w:rsid w:val="002B014A"/>
    <w:rsid w:val="002B3B08"/>
    <w:rsid w:val="002B4F95"/>
    <w:rsid w:val="002B5739"/>
    <w:rsid w:val="002C2317"/>
    <w:rsid w:val="002C257E"/>
    <w:rsid w:val="002C2A4A"/>
    <w:rsid w:val="002C3330"/>
    <w:rsid w:val="002C38AC"/>
    <w:rsid w:val="002D1922"/>
    <w:rsid w:val="002D5B4F"/>
    <w:rsid w:val="002E4250"/>
    <w:rsid w:val="002E655C"/>
    <w:rsid w:val="002E78EB"/>
    <w:rsid w:val="002F2936"/>
    <w:rsid w:val="002F2EF8"/>
    <w:rsid w:val="002F6EF9"/>
    <w:rsid w:val="00300859"/>
    <w:rsid w:val="00303A66"/>
    <w:rsid w:val="00306F0C"/>
    <w:rsid w:val="003112C2"/>
    <w:rsid w:val="00315AE0"/>
    <w:rsid w:val="0031696F"/>
    <w:rsid w:val="00317272"/>
    <w:rsid w:val="003226BE"/>
    <w:rsid w:val="00325227"/>
    <w:rsid w:val="00332C68"/>
    <w:rsid w:val="00332EC4"/>
    <w:rsid w:val="00333C1D"/>
    <w:rsid w:val="003340DC"/>
    <w:rsid w:val="00336F1F"/>
    <w:rsid w:val="00341756"/>
    <w:rsid w:val="00342798"/>
    <w:rsid w:val="003434AD"/>
    <w:rsid w:val="00345DF1"/>
    <w:rsid w:val="0034678B"/>
    <w:rsid w:val="00347256"/>
    <w:rsid w:val="003526F8"/>
    <w:rsid w:val="003541BF"/>
    <w:rsid w:val="003752F9"/>
    <w:rsid w:val="00376B58"/>
    <w:rsid w:val="00381994"/>
    <w:rsid w:val="00382009"/>
    <w:rsid w:val="0038719E"/>
    <w:rsid w:val="00390378"/>
    <w:rsid w:val="003918E5"/>
    <w:rsid w:val="003A05A0"/>
    <w:rsid w:val="003A302C"/>
    <w:rsid w:val="003B1763"/>
    <w:rsid w:val="003B33E6"/>
    <w:rsid w:val="003C1E35"/>
    <w:rsid w:val="003D08EB"/>
    <w:rsid w:val="003D128A"/>
    <w:rsid w:val="003D35E2"/>
    <w:rsid w:val="003E4335"/>
    <w:rsid w:val="003E59F7"/>
    <w:rsid w:val="003F0209"/>
    <w:rsid w:val="00400129"/>
    <w:rsid w:val="00400E6B"/>
    <w:rsid w:val="0040132C"/>
    <w:rsid w:val="00414578"/>
    <w:rsid w:val="00417244"/>
    <w:rsid w:val="00420FCD"/>
    <w:rsid w:val="00424ED2"/>
    <w:rsid w:val="00436CA0"/>
    <w:rsid w:val="0043725A"/>
    <w:rsid w:val="00440807"/>
    <w:rsid w:val="004419EE"/>
    <w:rsid w:val="0044264D"/>
    <w:rsid w:val="00443180"/>
    <w:rsid w:val="0045024A"/>
    <w:rsid w:val="004531CB"/>
    <w:rsid w:val="004552AF"/>
    <w:rsid w:val="00455373"/>
    <w:rsid w:val="00467126"/>
    <w:rsid w:val="0047046E"/>
    <w:rsid w:val="004757E7"/>
    <w:rsid w:val="00477161"/>
    <w:rsid w:val="00482AEE"/>
    <w:rsid w:val="00484408"/>
    <w:rsid w:val="00485D3B"/>
    <w:rsid w:val="0049017D"/>
    <w:rsid w:val="004908F2"/>
    <w:rsid w:val="004914E8"/>
    <w:rsid w:val="00491CB4"/>
    <w:rsid w:val="004A3D60"/>
    <w:rsid w:val="004A41DE"/>
    <w:rsid w:val="004A558A"/>
    <w:rsid w:val="004A5B80"/>
    <w:rsid w:val="004A7B05"/>
    <w:rsid w:val="004B0D1E"/>
    <w:rsid w:val="004B2061"/>
    <w:rsid w:val="004B402F"/>
    <w:rsid w:val="004B66CF"/>
    <w:rsid w:val="004C12A5"/>
    <w:rsid w:val="004C7643"/>
    <w:rsid w:val="004D1448"/>
    <w:rsid w:val="004D192D"/>
    <w:rsid w:val="004D29EF"/>
    <w:rsid w:val="004D4206"/>
    <w:rsid w:val="004E08F6"/>
    <w:rsid w:val="004E2B5D"/>
    <w:rsid w:val="00504810"/>
    <w:rsid w:val="00510191"/>
    <w:rsid w:val="00517EE9"/>
    <w:rsid w:val="00522C3E"/>
    <w:rsid w:val="00532DA8"/>
    <w:rsid w:val="005346B4"/>
    <w:rsid w:val="00535843"/>
    <w:rsid w:val="00544155"/>
    <w:rsid w:val="0055791C"/>
    <w:rsid w:val="00557A69"/>
    <w:rsid w:val="00561342"/>
    <w:rsid w:val="00561FF6"/>
    <w:rsid w:val="0056614D"/>
    <w:rsid w:val="005668F9"/>
    <w:rsid w:val="00566FBA"/>
    <w:rsid w:val="00567AC7"/>
    <w:rsid w:val="0057007B"/>
    <w:rsid w:val="00572130"/>
    <w:rsid w:val="00582129"/>
    <w:rsid w:val="005825B7"/>
    <w:rsid w:val="00584757"/>
    <w:rsid w:val="00585103"/>
    <w:rsid w:val="00587C79"/>
    <w:rsid w:val="005905BD"/>
    <w:rsid w:val="00590660"/>
    <w:rsid w:val="0059277C"/>
    <w:rsid w:val="00592EA0"/>
    <w:rsid w:val="005938AC"/>
    <w:rsid w:val="00597BF5"/>
    <w:rsid w:val="005A02B3"/>
    <w:rsid w:val="005A18F7"/>
    <w:rsid w:val="005A247A"/>
    <w:rsid w:val="005A5452"/>
    <w:rsid w:val="005B1B50"/>
    <w:rsid w:val="005B3472"/>
    <w:rsid w:val="005B69A2"/>
    <w:rsid w:val="005C33FF"/>
    <w:rsid w:val="005C35BA"/>
    <w:rsid w:val="005C6FB1"/>
    <w:rsid w:val="005D24DA"/>
    <w:rsid w:val="005D5289"/>
    <w:rsid w:val="005D7DEA"/>
    <w:rsid w:val="005E217C"/>
    <w:rsid w:val="005E240F"/>
    <w:rsid w:val="005E45C7"/>
    <w:rsid w:val="005E46BD"/>
    <w:rsid w:val="005E47EE"/>
    <w:rsid w:val="005E5E81"/>
    <w:rsid w:val="005E78E1"/>
    <w:rsid w:val="005F0A10"/>
    <w:rsid w:val="005F2A05"/>
    <w:rsid w:val="005F365F"/>
    <w:rsid w:val="005F6984"/>
    <w:rsid w:val="005F70C0"/>
    <w:rsid w:val="00602612"/>
    <w:rsid w:val="0060266F"/>
    <w:rsid w:val="00606333"/>
    <w:rsid w:val="00607F1D"/>
    <w:rsid w:val="00607F42"/>
    <w:rsid w:val="00610C30"/>
    <w:rsid w:val="00610CD5"/>
    <w:rsid w:val="00616BCE"/>
    <w:rsid w:val="006170CC"/>
    <w:rsid w:val="00621E1B"/>
    <w:rsid w:val="006311A5"/>
    <w:rsid w:val="006318C6"/>
    <w:rsid w:val="00632F8F"/>
    <w:rsid w:val="006343C0"/>
    <w:rsid w:val="0063440F"/>
    <w:rsid w:val="006354F7"/>
    <w:rsid w:val="00636AE4"/>
    <w:rsid w:val="006404D3"/>
    <w:rsid w:val="00644139"/>
    <w:rsid w:val="00645410"/>
    <w:rsid w:val="00650520"/>
    <w:rsid w:val="00652A65"/>
    <w:rsid w:val="00654E2E"/>
    <w:rsid w:val="00655B45"/>
    <w:rsid w:val="00660FC2"/>
    <w:rsid w:val="00661460"/>
    <w:rsid w:val="0066161A"/>
    <w:rsid w:val="00663030"/>
    <w:rsid w:val="006667AF"/>
    <w:rsid w:val="00666ACF"/>
    <w:rsid w:val="00667AF5"/>
    <w:rsid w:val="0067148D"/>
    <w:rsid w:val="00673001"/>
    <w:rsid w:val="00676F02"/>
    <w:rsid w:val="0068086D"/>
    <w:rsid w:val="006825E0"/>
    <w:rsid w:val="00684280"/>
    <w:rsid w:val="00685870"/>
    <w:rsid w:val="006920F9"/>
    <w:rsid w:val="00694014"/>
    <w:rsid w:val="006A1B85"/>
    <w:rsid w:val="006A2429"/>
    <w:rsid w:val="006A3A2B"/>
    <w:rsid w:val="006A3ADC"/>
    <w:rsid w:val="006A4CD5"/>
    <w:rsid w:val="006A67A7"/>
    <w:rsid w:val="006B164C"/>
    <w:rsid w:val="006B22E2"/>
    <w:rsid w:val="006B24DA"/>
    <w:rsid w:val="006B5535"/>
    <w:rsid w:val="006C1532"/>
    <w:rsid w:val="006C2F8D"/>
    <w:rsid w:val="006C5394"/>
    <w:rsid w:val="006D1B39"/>
    <w:rsid w:val="006D39F5"/>
    <w:rsid w:val="006D630C"/>
    <w:rsid w:val="006D7EAD"/>
    <w:rsid w:val="006E1923"/>
    <w:rsid w:val="006F1525"/>
    <w:rsid w:val="006F16A3"/>
    <w:rsid w:val="006F42A0"/>
    <w:rsid w:val="006F5B46"/>
    <w:rsid w:val="006F620E"/>
    <w:rsid w:val="00700FAE"/>
    <w:rsid w:val="00702587"/>
    <w:rsid w:val="00703095"/>
    <w:rsid w:val="00705F2A"/>
    <w:rsid w:val="00706742"/>
    <w:rsid w:val="00711AF9"/>
    <w:rsid w:val="00712048"/>
    <w:rsid w:val="00716AF0"/>
    <w:rsid w:val="00720C83"/>
    <w:rsid w:val="00721619"/>
    <w:rsid w:val="0072253C"/>
    <w:rsid w:val="00724279"/>
    <w:rsid w:val="007334AE"/>
    <w:rsid w:val="0073430E"/>
    <w:rsid w:val="007359A2"/>
    <w:rsid w:val="0073726D"/>
    <w:rsid w:val="00740D2F"/>
    <w:rsid w:val="00742E94"/>
    <w:rsid w:val="0074395D"/>
    <w:rsid w:val="00743FBB"/>
    <w:rsid w:val="00744EFB"/>
    <w:rsid w:val="00745893"/>
    <w:rsid w:val="007474AE"/>
    <w:rsid w:val="00753BB5"/>
    <w:rsid w:val="0075555D"/>
    <w:rsid w:val="00755BB2"/>
    <w:rsid w:val="007601E5"/>
    <w:rsid w:val="00764782"/>
    <w:rsid w:val="007678DE"/>
    <w:rsid w:val="00775C0D"/>
    <w:rsid w:val="00782286"/>
    <w:rsid w:val="00783203"/>
    <w:rsid w:val="00786184"/>
    <w:rsid w:val="00793017"/>
    <w:rsid w:val="007950E5"/>
    <w:rsid w:val="0079765C"/>
    <w:rsid w:val="007A280D"/>
    <w:rsid w:val="007A3D68"/>
    <w:rsid w:val="007A573C"/>
    <w:rsid w:val="007B4B72"/>
    <w:rsid w:val="007B79AF"/>
    <w:rsid w:val="007C0389"/>
    <w:rsid w:val="007C3D7A"/>
    <w:rsid w:val="007C4747"/>
    <w:rsid w:val="007C5588"/>
    <w:rsid w:val="007C57E8"/>
    <w:rsid w:val="007D04BA"/>
    <w:rsid w:val="007D0F3B"/>
    <w:rsid w:val="007D4856"/>
    <w:rsid w:val="007D602E"/>
    <w:rsid w:val="007D6265"/>
    <w:rsid w:val="007E2D29"/>
    <w:rsid w:val="007E2F9A"/>
    <w:rsid w:val="007E4ECE"/>
    <w:rsid w:val="007E620E"/>
    <w:rsid w:val="007F23FB"/>
    <w:rsid w:val="007F3DA0"/>
    <w:rsid w:val="007F5F42"/>
    <w:rsid w:val="008008CC"/>
    <w:rsid w:val="00801104"/>
    <w:rsid w:val="00801ACB"/>
    <w:rsid w:val="00802E5F"/>
    <w:rsid w:val="00806511"/>
    <w:rsid w:val="00810C2C"/>
    <w:rsid w:val="00810E49"/>
    <w:rsid w:val="00812C81"/>
    <w:rsid w:val="008259A4"/>
    <w:rsid w:val="00826100"/>
    <w:rsid w:val="00826505"/>
    <w:rsid w:val="00827B98"/>
    <w:rsid w:val="008318C3"/>
    <w:rsid w:val="0083266C"/>
    <w:rsid w:val="00833603"/>
    <w:rsid w:val="008338D9"/>
    <w:rsid w:val="00833F34"/>
    <w:rsid w:val="0083585F"/>
    <w:rsid w:val="0083712C"/>
    <w:rsid w:val="0083786B"/>
    <w:rsid w:val="00843721"/>
    <w:rsid w:val="008520D0"/>
    <w:rsid w:val="0085252B"/>
    <w:rsid w:val="00854318"/>
    <w:rsid w:val="00854F48"/>
    <w:rsid w:val="0085550C"/>
    <w:rsid w:val="00857728"/>
    <w:rsid w:val="0086272F"/>
    <w:rsid w:val="00863C62"/>
    <w:rsid w:val="008659D2"/>
    <w:rsid w:val="0086778A"/>
    <w:rsid w:val="00872900"/>
    <w:rsid w:val="00876B17"/>
    <w:rsid w:val="00877D68"/>
    <w:rsid w:val="00882524"/>
    <w:rsid w:val="00882974"/>
    <w:rsid w:val="00884AA5"/>
    <w:rsid w:val="00885434"/>
    <w:rsid w:val="008947B5"/>
    <w:rsid w:val="00896D6D"/>
    <w:rsid w:val="008A0C4E"/>
    <w:rsid w:val="008A0E5A"/>
    <w:rsid w:val="008A2877"/>
    <w:rsid w:val="008A4035"/>
    <w:rsid w:val="008A4D5A"/>
    <w:rsid w:val="008A7117"/>
    <w:rsid w:val="008B1BDB"/>
    <w:rsid w:val="008B1BFB"/>
    <w:rsid w:val="008B6713"/>
    <w:rsid w:val="008B6DC5"/>
    <w:rsid w:val="008C2B55"/>
    <w:rsid w:val="008C33D3"/>
    <w:rsid w:val="008C6D37"/>
    <w:rsid w:val="008E0B5A"/>
    <w:rsid w:val="008E0BAA"/>
    <w:rsid w:val="008E16B2"/>
    <w:rsid w:val="008E24C0"/>
    <w:rsid w:val="008E2813"/>
    <w:rsid w:val="008F0044"/>
    <w:rsid w:val="008F0BA9"/>
    <w:rsid w:val="0090006C"/>
    <w:rsid w:val="00900B01"/>
    <w:rsid w:val="00903A13"/>
    <w:rsid w:val="009047ED"/>
    <w:rsid w:val="00904DFA"/>
    <w:rsid w:val="00907707"/>
    <w:rsid w:val="0091076D"/>
    <w:rsid w:val="00912124"/>
    <w:rsid w:val="009216D3"/>
    <w:rsid w:val="00927DA9"/>
    <w:rsid w:val="00930852"/>
    <w:rsid w:val="00930E30"/>
    <w:rsid w:val="00933078"/>
    <w:rsid w:val="00933930"/>
    <w:rsid w:val="00940C4A"/>
    <w:rsid w:val="00941960"/>
    <w:rsid w:val="0094268B"/>
    <w:rsid w:val="00950391"/>
    <w:rsid w:val="00950D8E"/>
    <w:rsid w:val="00954009"/>
    <w:rsid w:val="0096021A"/>
    <w:rsid w:val="0097565D"/>
    <w:rsid w:val="00976710"/>
    <w:rsid w:val="00982840"/>
    <w:rsid w:val="009852C8"/>
    <w:rsid w:val="00986C8B"/>
    <w:rsid w:val="0098704C"/>
    <w:rsid w:val="009904A4"/>
    <w:rsid w:val="00990A20"/>
    <w:rsid w:val="009911FC"/>
    <w:rsid w:val="009919B6"/>
    <w:rsid w:val="009937D1"/>
    <w:rsid w:val="00996D09"/>
    <w:rsid w:val="009A067F"/>
    <w:rsid w:val="009A2EE9"/>
    <w:rsid w:val="009A79A0"/>
    <w:rsid w:val="009A7ABC"/>
    <w:rsid w:val="009B2AEE"/>
    <w:rsid w:val="009B49CD"/>
    <w:rsid w:val="009B4A40"/>
    <w:rsid w:val="009C2AC8"/>
    <w:rsid w:val="009C2B26"/>
    <w:rsid w:val="009C3161"/>
    <w:rsid w:val="009C38C8"/>
    <w:rsid w:val="009C4F74"/>
    <w:rsid w:val="009D38DA"/>
    <w:rsid w:val="009D5061"/>
    <w:rsid w:val="009D6EAB"/>
    <w:rsid w:val="009E0D58"/>
    <w:rsid w:val="009E1BFE"/>
    <w:rsid w:val="009E35CA"/>
    <w:rsid w:val="009E6297"/>
    <w:rsid w:val="009E7362"/>
    <w:rsid w:val="009F1093"/>
    <w:rsid w:val="009F5483"/>
    <w:rsid w:val="00A0081E"/>
    <w:rsid w:val="00A01792"/>
    <w:rsid w:val="00A044ED"/>
    <w:rsid w:val="00A06C89"/>
    <w:rsid w:val="00A14292"/>
    <w:rsid w:val="00A1465C"/>
    <w:rsid w:val="00A16D08"/>
    <w:rsid w:val="00A21E10"/>
    <w:rsid w:val="00A3079A"/>
    <w:rsid w:val="00A31A0C"/>
    <w:rsid w:val="00A323EC"/>
    <w:rsid w:val="00A34176"/>
    <w:rsid w:val="00A3425B"/>
    <w:rsid w:val="00A344CA"/>
    <w:rsid w:val="00A3534A"/>
    <w:rsid w:val="00A37A20"/>
    <w:rsid w:val="00A43773"/>
    <w:rsid w:val="00A441A9"/>
    <w:rsid w:val="00A44474"/>
    <w:rsid w:val="00A5288D"/>
    <w:rsid w:val="00A54851"/>
    <w:rsid w:val="00A55494"/>
    <w:rsid w:val="00A557AC"/>
    <w:rsid w:val="00A62938"/>
    <w:rsid w:val="00A66D1D"/>
    <w:rsid w:val="00A733E9"/>
    <w:rsid w:val="00A806D8"/>
    <w:rsid w:val="00A81FC0"/>
    <w:rsid w:val="00A83607"/>
    <w:rsid w:val="00A852A0"/>
    <w:rsid w:val="00A9292A"/>
    <w:rsid w:val="00A96CCD"/>
    <w:rsid w:val="00A978E6"/>
    <w:rsid w:val="00AA0931"/>
    <w:rsid w:val="00AA15E7"/>
    <w:rsid w:val="00AA41D2"/>
    <w:rsid w:val="00AB2C65"/>
    <w:rsid w:val="00AB529D"/>
    <w:rsid w:val="00AB77D6"/>
    <w:rsid w:val="00AC2D0E"/>
    <w:rsid w:val="00AC6001"/>
    <w:rsid w:val="00AD1FD8"/>
    <w:rsid w:val="00AE26E5"/>
    <w:rsid w:val="00AE2855"/>
    <w:rsid w:val="00AE3889"/>
    <w:rsid w:val="00AE3A7B"/>
    <w:rsid w:val="00AE6AD8"/>
    <w:rsid w:val="00AF0F11"/>
    <w:rsid w:val="00AF492E"/>
    <w:rsid w:val="00AF4D2F"/>
    <w:rsid w:val="00AF7A5C"/>
    <w:rsid w:val="00B0043E"/>
    <w:rsid w:val="00B0291C"/>
    <w:rsid w:val="00B05A5D"/>
    <w:rsid w:val="00B06FBE"/>
    <w:rsid w:val="00B10F2F"/>
    <w:rsid w:val="00B12294"/>
    <w:rsid w:val="00B13733"/>
    <w:rsid w:val="00B22CCE"/>
    <w:rsid w:val="00B23627"/>
    <w:rsid w:val="00B25E69"/>
    <w:rsid w:val="00B363EA"/>
    <w:rsid w:val="00B36725"/>
    <w:rsid w:val="00B41F02"/>
    <w:rsid w:val="00B44CF4"/>
    <w:rsid w:val="00B50628"/>
    <w:rsid w:val="00B5084D"/>
    <w:rsid w:val="00B53320"/>
    <w:rsid w:val="00B536F0"/>
    <w:rsid w:val="00B57122"/>
    <w:rsid w:val="00B57A92"/>
    <w:rsid w:val="00B57B66"/>
    <w:rsid w:val="00B57EA2"/>
    <w:rsid w:val="00B60A4B"/>
    <w:rsid w:val="00B61A93"/>
    <w:rsid w:val="00B622AF"/>
    <w:rsid w:val="00B7116D"/>
    <w:rsid w:val="00B769B9"/>
    <w:rsid w:val="00B81F27"/>
    <w:rsid w:val="00B92277"/>
    <w:rsid w:val="00B96FA1"/>
    <w:rsid w:val="00B97EEB"/>
    <w:rsid w:val="00BA2555"/>
    <w:rsid w:val="00BA772B"/>
    <w:rsid w:val="00BB4726"/>
    <w:rsid w:val="00BB530A"/>
    <w:rsid w:val="00BB59AE"/>
    <w:rsid w:val="00BB657F"/>
    <w:rsid w:val="00BB76BF"/>
    <w:rsid w:val="00BC5ADE"/>
    <w:rsid w:val="00BC5B54"/>
    <w:rsid w:val="00BC6A6A"/>
    <w:rsid w:val="00BD201B"/>
    <w:rsid w:val="00BD45FF"/>
    <w:rsid w:val="00BD4755"/>
    <w:rsid w:val="00BE292A"/>
    <w:rsid w:val="00BE3EA2"/>
    <w:rsid w:val="00BE6A09"/>
    <w:rsid w:val="00BF6CD4"/>
    <w:rsid w:val="00C008D1"/>
    <w:rsid w:val="00C02142"/>
    <w:rsid w:val="00C033EA"/>
    <w:rsid w:val="00C130D9"/>
    <w:rsid w:val="00C1457C"/>
    <w:rsid w:val="00C1725A"/>
    <w:rsid w:val="00C211BB"/>
    <w:rsid w:val="00C227EB"/>
    <w:rsid w:val="00C353BD"/>
    <w:rsid w:val="00C35734"/>
    <w:rsid w:val="00C369BF"/>
    <w:rsid w:val="00C37246"/>
    <w:rsid w:val="00C40752"/>
    <w:rsid w:val="00C41741"/>
    <w:rsid w:val="00C43F71"/>
    <w:rsid w:val="00C50185"/>
    <w:rsid w:val="00C54FA5"/>
    <w:rsid w:val="00C554D4"/>
    <w:rsid w:val="00C56D36"/>
    <w:rsid w:val="00C66594"/>
    <w:rsid w:val="00C665D9"/>
    <w:rsid w:val="00C70FEA"/>
    <w:rsid w:val="00C7149A"/>
    <w:rsid w:val="00C73C66"/>
    <w:rsid w:val="00C77E63"/>
    <w:rsid w:val="00C8078A"/>
    <w:rsid w:val="00C86662"/>
    <w:rsid w:val="00C94484"/>
    <w:rsid w:val="00C97F28"/>
    <w:rsid w:val="00CA002E"/>
    <w:rsid w:val="00CA0231"/>
    <w:rsid w:val="00CA1AF8"/>
    <w:rsid w:val="00CA3BD5"/>
    <w:rsid w:val="00CA48F9"/>
    <w:rsid w:val="00CB0D84"/>
    <w:rsid w:val="00CB5520"/>
    <w:rsid w:val="00CB67DE"/>
    <w:rsid w:val="00CC120C"/>
    <w:rsid w:val="00CC1EDC"/>
    <w:rsid w:val="00CC2401"/>
    <w:rsid w:val="00CD0E70"/>
    <w:rsid w:val="00CD2834"/>
    <w:rsid w:val="00CD5B24"/>
    <w:rsid w:val="00CD779E"/>
    <w:rsid w:val="00CE255E"/>
    <w:rsid w:val="00CE2F31"/>
    <w:rsid w:val="00CE34BD"/>
    <w:rsid w:val="00CF3BE2"/>
    <w:rsid w:val="00D001DC"/>
    <w:rsid w:val="00D01F22"/>
    <w:rsid w:val="00D04195"/>
    <w:rsid w:val="00D04523"/>
    <w:rsid w:val="00D05586"/>
    <w:rsid w:val="00D062F3"/>
    <w:rsid w:val="00D21AF7"/>
    <w:rsid w:val="00D231AA"/>
    <w:rsid w:val="00D24D37"/>
    <w:rsid w:val="00D328F5"/>
    <w:rsid w:val="00D32B14"/>
    <w:rsid w:val="00D33B1B"/>
    <w:rsid w:val="00D40AAE"/>
    <w:rsid w:val="00D41AE0"/>
    <w:rsid w:val="00D43729"/>
    <w:rsid w:val="00D4535F"/>
    <w:rsid w:val="00D454CD"/>
    <w:rsid w:val="00D50240"/>
    <w:rsid w:val="00D52C9C"/>
    <w:rsid w:val="00D538D0"/>
    <w:rsid w:val="00D540D9"/>
    <w:rsid w:val="00D54EDA"/>
    <w:rsid w:val="00D57600"/>
    <w:rsid w:val="00D630D0"/>
    <w:rsid w:val="00D64440"/>
    <w:rsid w:val="00D66E16"/>
    <w:rsid w:val="00D67E25"/>
    <w:rsid w:val="00D80778"/>
    <w:rsid w:val="00D82AFC"/>
    <w:rsid w:val="00D836CE"/>
    <w:rsid w:val="00D857A0"/>
    <w:rsid w:val="00D8799B"/>
    <w:rsid w:val="00D91858"/>
    <w:rsid w:val="00D91FF1"/>
    <w:rsid w:val="00D94BA1"/>
    <w:rsid w:val="00DA0997"/>
    <w:rsid w:val="00DA12B8"/>
    <w:rsid w:val="00DA1B79"/>
    <w:rsid w:val="00DA46E1"/>
    <w:rsid w:val="00DA5C2F"/>
    <w:rsid w:val="00DB35BE"/>
    <w:rsid w:val="00DB37E9"/>
    <w:rsid w:val="00DB767A"/>
    <w:rsid w:val="00DC0461"/>
    <w:rsid w:val="00DC1C0A"/>
    <w:rsid w:val="00DD022A"/>
    <w:rsid w:val="00DD5A33"/>
    <w:rsid w:val="00DD6AB1"/>
    <w:rsid w:val="00DE1914"/>
    <w:rsid w:val="00DE534D"/>
    <w:rsid w:val="00DF5890"/>
    <w:rsid w:val="00E04145"/>
    <w:rsid w:val="00E06299"/>
    <w:rsid w:val="00E07640"/>
    <w:rsid w:val="00E07F91"/>
    <w:rsid w:val="00E11A3C"/>
    <w:rsid w:val="00E126C5"/>
    <w:rsid w:val="00E1360B"/>
    <w:rsid w:val="00E139CB"/>
    <w:rsid w:val="00E14DC7"/>
    <w:rsid w:val="00E16FCA"/>
    <w:rsid w:val="00E1798E"/>
    <w:rsid w:val="00E17CE6"/>
    <w:rsid w:val="00E22644"/>
    <w:rsid w:val="00E311EF"/>
    <w:rsid w:val="00E33592"/>
    <w:rsid w:val="00E37A4D"/>
    <w:rsid w:val="00E37D20"/>
    <w:rsid w:val="00E42103"/>
    <w:rsid w:val="00E428CE"/>
    <w:rsid w:val="00E43E73"/>
    <w:rsid w:val="00E45335"/>
    <w:rsid w:val="00E46E02"/>
    <w:rsid w:val="00E5062D"/>
    <w:rsid w:val="00E50F7E"/>
    <w:rsid w:val="00E514A9"/>
    <w:rsid w:val="00E5202A"/>
    <w:rsid w:val="00E52E45"/>
    <w:rsid w:val="00E54966"/>
    <w:rsid w:val="00E54998"/>
    <w:rsid w:val="00E557DC"/>
    <w:rsid w:val="00E56B38"/>
    <w:rsid w:val="00E610D3"/>
    <w:rsid w:val="00E63EA6"/>
    <w:rsid w:val="00E675A6"/>
    <w:rsid w:val="00E7154E"/>
    <w:rsid w:val="00E71EB1"/>
    <w:rsid w:val="00E754D6"/>
    <w:rsid w:val="00E763AC"/>
    <w:rsid w:val="00E84055"/>
    <w:rsid w:val="00E842A2"/>
    <w:rsid w:val="00E84FFC"/>
    <w:rsid w:val="00E86CC8"/>
    <w:rsid w:val="00E8784B"/>
    <w:rsid w:val="00E90CC9"/>
    <w:rsid w:val="00E91C04"/>
    <w:rsid w:val="00E94C4F"/>
    <w:rsid w:val="00EB05C6"/>
    <w:rsid w:val="00EB248B"/>
    <w:rsid w:val="00EB4C58"/>
    <w:rsid w:val="00EB6276"/>
    <w:rsid w:val="00EC056D"/>
    <w:rsid w:val="00EC649A"/>
    <w:rsid w:val="00EC69E5"/>
    <w:rsid w:val="00EC7D5F"/>
    <w:rsid w:val="00ED0AFE"/>
    <w:rsid w:val="00ED0E12"/>
    <w:rsid w:val="00ED0F6D"/>
    <w:rsid w:val="00ED1B7D"/>
    <w:rsid w:val="00EE0F76"/>
    <w:rsid w:val="00EE3A52"/>
    <w:rsid w:val="00EE5DF3"/>
    <w:rsid w:val="00EE6025"/>
    <w:rsid w:val="00EE6947"/>
    <w:rsid w:val="00EF1FAA"/>
    <w:rsid w:val="00EF2A3E"/>
    <w:rsid w:val="00EF2F57"/>
    <w:rsid w:val="00EF3982"/>
    <w:rsid w:val="00EF3D2F"/>
    <w:rsid w:val="00EF5954"/>
    <w:rsid w:val="00EF6F08"/>
    <w:rsid w:val="00F03DEA"/>
    <w:rsid w:val="00F04BDD"/>
    <w:rsid w:val="00F11636"/>
    <w:rsid w:val="00F21271"/>
    <w:rsid w:val="00F22DCD"/>
    <w:rsid w:val="00F25A02"/>
    <w:rsid w:val="00F27620"/>
    <w:rsid w:val="00F30B42"/>
    <w:rsid w:val="00F314C8"/>
    <w:rsid w:val="00F32858"/>
    <w:rsid w:val="00F40595"/>
    <w:rsid w:val="00F43707"/>
    <w:rsid w:val="00F43C79"/>
    <w:rsid w:val="00F50354"/>
    <w:rsid w:val="00F51D43"/>
    <w:rsid w:val="00F531E1"/>
    <w:rsid w:val="00F534CB"/>
    <w:rsid w:val="00F55D6B"/>
    <w:rsid w:val="00F57003"/>
    <w:rsid w:val="00F606D9"/>
    <w:rsid w:val="00F6407E"/>
    <w:rsid w:val="00F64A19"/>
    <w:rsid w:val="00F670B0"/>
    <w:rsid w:val="00F67876"/>
    <w:rsid w:val="00F70FA6"/>
    <w:rsid w:val="00F75FDA"/>
    <w:rsid w:val="00F7674C"/>
    <w:rsid w:val="00F769EC"/>
    <w:rsid w:val="00F83908"/>
    <w:rsid w:val="00F9036A"/>
    <w:rsid w:val="00F91C2F"/>
    <w:rsid w:val="00F9486B"/>
    <w:rsid w:val="00F95C9D"/>
    <w:rsid w:val="00FA255D"/>
    <w:rsid w:val="00FA3081"/>
    <w:rsid w:val="00FA3FD4"/>
    <w:rsid w:val="00FA7BD3"/>
    <w:rsid w:val="00FB1618"/>
    <w:rsid w:val="00FB2513"/>
    <w:rsid w:val="00FB3BBA"/>
    <w:rsid w:val="00FB57B5"/>
    <w:rsid w:val="00FB7BE7"/>
    <w:rsid w:val="00FC12CC"/>
    <w:rsid w:val="00FC2C86"/>
    <w:rsid w:val="00FC68CD"/>
    <w:rsid w:val="00FD0434"/>
    <w:rsid w:val="00FD0C92"/>
    <w:rsid w:val="00FD2033"/>
    <w:rsid w:val="00FD2C51"/>
    <w:rsid w:val="00FD36E3"/>
    <w:rsid w:val="00FD74D6"/>
    <w:rsid w:val="00FD778F"/>
    <w:rsid w:val="00FE19BE"/>
    <w:rsid w:val="00FE5A94"/>
    <w:rsid w:val="00FE77BF"/>
    <w:rsid w:val="00FF24C8"/>
    <w:rsid w:val="00FF285B"/>
    <w:rsid w:val="00FF7EA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1618"/>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0A20"/>
  </w:style>
  <w:style w:type="paragraph" w:styleId="Nagwek1">
    <w:name w:val="heading 1"/>
    <w:basedOn w:val="Normalny"/>
    <w:next w:val="Normalny"/>
    <w:link w:val="Nagwek1Znak"/>
    <w:qFormat/>
    <w:rsid w:val="009A7ABC"/>
    <w:pPr>
      <w:keepNext/>
      <w:spacing w:before="240" w:after="60" w:line="240" w:lineRule="auto"/>
      <w:outlineLvl w:val="0"/>
    </w:pPr>
    <w:rPr>
      <w:rFonts w:ascii="Cambria" w:eastAsia="Times New Roman" w:hAnsi="Cambria" w:cs="Times New Roman"/>
      <w:b/>
      <w:bCs/>
      <w:kern w:val="32"/>
      <w:sz w:val="32"/>
      <w:szCs w:val="32"/>
    </w:rPr>
  </w:style>
  <w:style w:type="paragraph" w:styleId="Nagwek2">
    <w:name w:val="heading 2"/>
    <w:basedOn w:val="Normalny"/>
    <w:next w:val="Normalny"/>
    <w:link w:val="Nagwek2Znak"/>
    <w:uiPriority w:val="9"/>
    <w:unhideWhenUsed/>
    <w:qFormat/>
    <w:rsid w:val="00927D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A7ABC"/>
    <w:rPr>
      <w:rFonts w:ascii="Cambria" w:eastAsia="Times New Roman" w:hAnsi="Cambria" w:cs="Times New Roman"/>
      <w:b/>
      <w:bCs/>
      <w:kern w:val="32"/>
      <w:sz w:val="32"/>
      <w:szCs w:val="32"/>
    </w:rPr>
  </w:style>
  <w:style w:type="paragraph" w:styleId="Akapitzlist">
    <w:name w:val="List Paragraph"/>
    <w:basedOn w:val="Normalny"/>
    <w:link w:val="AkapitzlistZnak"/>
    <w:uiPriority w:val="34"/>
    <w:qFormat/>
    <w:rsid w:val="009A7ABC"/>
    <w:pPr>
      <w:spacing w:after="0" w:line="240" w:lineRule="auto"/>
      <w:ind w:left="708"/>
    </w:pPr>
    <w:rPr>
      <w:rFonts w:ascii="Times New Roman" w:eastAsia="Times New Roman" w:hAnsi="Times New Roman" w:cs="Times New Roman"/>
      <w:sz w:val="24"/>
      <w:szCs w:val="24"/>
    </w:rPr>
  </w:style>
  <w:style w:type="paragraph" w:styleId="Bezodstpw">
    <w:name w:val="No Spacing"/>
    <w:link w:val="BezodstpwZnak"/>
    <w:uiPriority w:val="1"/>
    <w:qFormat/>
    <w:rsid w:val="00927DA9"/>
    <w:pPr>
      <w:spacing w:after="0" w:line="240" w:lineRule="auto"/>
    </w:pPr>
    <w:rPr>
      <w:lang w:eastAsia="en-US"/>
    </w:rPr>
  </w:style>
  <w:style w:type="character" w:customStyle="1" w:styleId="BezodstpwZnak">
    <w:name w:val="Bez odstępów Znak"/>
    <w:basedOn w:val="Domylnaczcionkaakapitu"/>
    <w:link w:val="Bezodstpw"/>
    <w:uiPriority w:val="1"/>
    <w:rsid w:val="00927DA9"/>
    <w:rPr>
      <w:lang w:eastAsia="en-US"/>
    </w:rPr>
  </w:style>
  <w:style w:type="paragraph" w:styleId="Tekstdymka">
    <w:name w:val="Balloon Text"/>
    <w:basedOn w:val="Normalny"/>
    <w:link w:val="TekstdymkaZnak"/>
    <w:uiPriority w:val="99"/>
    <w:semiHidden/>
    <w:unhideWhenUsed/>
    <w:rsid w:val="00927DA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27DA9"/>
    <w:rPr>
      <w:rFonts w:ascii="Tahoma" w:hAnsi="Tahoma" w:cs="Tahoma"/>
      <w:sz w:val="16"/>
      <w:szCs w:val="16"/>
    </w:rPr>
  </w:style>
  <w:style w:type="paragraph" w:styleId="Nagwekspisutreci">
    <w:name w:val="TOC Heading"/>
    <w:basedOn w:val="Nagwek1"/>
    <w:next w:val="Normalny"/>
    <w:uiPriority w:val="39"/>
    <w:semiHidden/>
    <w:unhideWhenUsed/>
    <w:qFormat/>
    <w:rsid w:val="00927DA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Spistreci1">
    <w:name w:val="toc 1"/>
    <w:basedOn w:val="Normalny"/>
    <w:next w:val="Normalny"/>
    <w:autoRedefine/>
    <w:uiPriority w:val="39"/>
    <w:unhideWhenUsed/>
    <w:qFormat/>
    <w:rsid w:val="00927DA9"/>
    <w:pPr>
      <w:spacing w:after="100"/>
    </w:pPr>
  </w:style>
  <w:style w:type="character" w:styleId="Hipercze">
    <w:name w:val="Hyperlink"/>
    <w:basedOn w:val="Domylnaczcionkaakapitu"/>
    <w:uiPriority w:val="99"/>
    <w:unhideWhenUsed/>
    <w:rsid w:val="00927DA9"/>
    <w:rPr>
      <w:color w:val="0000FF" w:themeColor="hyperlink"/>
      <w:u w:val="single"/>
    </w:rPr>
  </w:style>
  <w:style w:type="paragraph" w:styleId="Spistreci2">
    <w:name w:val="toc 2"/>
    <w:basedOn w:val="Normalny"/>
    <w:next w:val="Normalny"/>
    <w:autoRedefine/>
    <w:uiPriority w:val="39"/>
    <w:unhideWhenUsed/>
    <w:qFormat/>
    <w:rsid w:val="00927DA9"/>
    <w:pPr>
      <w:spacing w:after="100"/>
      <w:ind w:left="220"/>
    </w:pPr>
    <w:rPr>
      <w:lang w:eastAsia="en-US"/>
    </w:rPr>
  </w:style>
  <w:style w:type="paragraph" w:styleId="Spistreci3">
    <w:name w:val="toc 3"/>
    <w:basedOn w:val="Normalny"/>
    <w:next w:val="Normalny"/>
    <w:autoRedefine/>
    <w:uiPriority w:val="39"/>
    <w:semiHidden/>
    <w:unhideWhenUsed/>
    <w:qFormat/>
    <w:rsid w:val="00927DA9"/>
    <w:pPr>
      <w:spacing w:after="100"/>
      <w:ind w:left="440"/>
    </w:pPr>
    <w:rPr>
      <w:lang w:eastAsia="en-US"/>
    </w:rPr>
  </w:style>
  <w:style w:type="character" w:customStyle="1" w:styleId="Nagwek2Znak">
    <w:name w:val="Nagłówek 2 Znak"/>
    <w:basedOn w:val="Domylnaczcionkaakapitu"/>
    <w:link w:val="Nagwek2"/>
    <w:uiPriority w:val="9"/>
    <w:rsid w:val="00927DA9"/>
    <w:rPr>
      <w:rFonts w:asciiTheme="majorHAnsi" w:eastAsiaTheme="majorEastAsia" w:hAnsiTheme="majorHAnsi" w:cstheme="majorBidi"/>
      <w:b/>
      <w:bCs/>
      <w:color w:val="4F81BD" w:themeColor="accent1"/>
      <w:sz w:val="26"/>
      <w:szCs w:val="26"/>
    </w:rPr>
  </w:style>
  <w:style w:type="paragraph" w:styleId="Tekstprzypisudolnego">
    <w:name w:val="footnote text"/>
    <w:basedOn w:val="Normalny"/>
    <w:link w:val="TekstprzypisudolnegoZnak"/>
    <w:unhideWhenUsed/>
    <w:rsid w:val="000B3163"/>
    <w:pPr>
      <w:spacing w:after="0" w:line="240" w:lineRule="auto"/>
    </w:pPr>
    <w:rPr>
      <w:sz w:val="20"/>
      <w:szCs w:val="20"/>
    </w:rPr>
  </w:style>
  <w:style w:type="character" w:customStyle="1" w:styleId="TekstprzypisudolnegoZnak">
    <w:name w:val="Tekst przypisu dolnego Znak"/>
    <w:basedOn w:val="Domylnaczcionkaakapitu"/>
    <w:link w:val="Tekstprzypisudolnego"/>
    <w:rsid w:val="000B3163"/>
    <w:rPr>
      <w:sz w:val="20"/>
      <w:szCs w:val="20"/>
    </w:rPr>
  </w:style>
  <w:style w:type="character" w:styleId="Odwoanieprzypisudolnego">
    <w:name w:val="footnote reference"/>
    <w:basedOn w:val="Domylnaczcionkaakapitu"/>
    <w:uiPriority w:val="99"/>
    <w:unhideWhenUsed/>
    <w:rsid w:val="000B3163"/>
    <w:rPr>
      <w:vertAlign w:val="superscript"/>
    </w:rPr>
  </w:style>
  <w:style w:type="paragraph" w:styleId="Nagwek">
    <w:name w:val="header"/>
    <w:basedOn w:val="Normalny"/>
    <w:link w:val="NagwekZnak"/>
    <w:unhideWhenUsed/>
    <w:rsid w:val="00E5062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062D"/>
  </w:style>
  <w:style w:type="paragraph" w:styleId="Stopka">
    <w:name w:val="footer"/>
    <w:basedOn w:val="Normalny"/>
    <w:link w:val="StopkaZnak"/>
    <w:uiPriority w:val="99"/>
    <w:unhideWhenUsed/>
    <w:rsid w:val="00E5062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062D"/>
  </w:style>
  <w:style w:type="paragraph" w:customStyle="1" w:styleId="Tretekstu">
    <w:name w:val="Treść tekstu"/>
    <w:basedOn w:val="Normalny"/>
    <w:rsid w:val="00504810"/>
    <w:pPr>
      <w:widowControl w:val="0"/>
      <w:autoSpaceDN w:val="0"/>
      <w:adjustRightInd w:val="0"/>
      <w:spacing w:after="0" w:line="360" w:lineRule="auto"/>
      <w:jc w:val="center"/>
    </w:pPr>
    <w:rPr>
      <w:rFonts w:ascii="Times New Roman" w:eastAsia="Times New Roman" w:hAnsi="Times New Roman" w:cs="Times New Roman"/>
      <w:sz w:val="52"/>
      <w:szCs w:val="52"/>
    </w:rPr>
  </w:style>
  <w:style w:type="paragraph" w:customStyle="1" w:styleId="Wcicietekstu">
    <w:name w:val="Wcięcie tekstu"/>
    <w:basedOn w:val="Normalny"/>
    <w:rsid w:val="00504810"/>
    <w:pPr>
      <w:widowControl w:val="0"/>
      <w:autoSpaceDN w:val="0"/>
      <w:adjustRightInd w:val="0"/>
      <w:spacing w:after="0" w:line="360" w:lineRule="auto"/>
      <w:jc w:val="center"/>
    </w:pPr>
    <w:rPr>
      <w:rFonts w:ascii="Times New Roman" w:eastAsia="Times New Roman" w:hAnsi="Times New Roman" w:cs="Times New Roman"/>
      <w:b/>
      <w:bCs/>
      <w:sz w:val="36"/>
      <w:szCs w:val="36"/>
    </w:rPr>
  </w:style>
  <w:style w:type="paragraph" w:customStyle="1" w:styleId="WW-Lista2">
    <w:name w:val="WW-Lista 2"/>
    <w:basedOn w:val="Normalny"/>
    <w:rsid w:val="00504810"/>
    <w:pPr>
      <w:widowControl w:val="0"/>
      <w:autoSpaceDE w:val="0"/>
      <w:autoSpaceDN w:val="0"/>
      <w:adjustRightInd w:val="0"/>
      <w:spacing w:after="0" w:line="240" w:lineRule="auto"/>
      <w:ind w:left="566" w:hanging="283"/>
    </w:pPr>
    <w:rPr>
      <w:rFonts w:ascii="Times New Roman" w:eastAsia="Times New Roman" w:hAnsi="Times New Roman" w:cs="Times New Roman"/>
      <w:sz w:val="24"/>
      <w:szCs w:val="24"/>
    </w:rPr>
  </w:style>
  <w:style w:type="paragraph" w:styleId="Lista">
    <w:name w:val="List"/>
    <w:basedOn w:val="Normalny"/>
    <w:rsid w:val="00504810"/>
    <w:pPr>
      <w:widowControl w:val="0"/>
      <w:suppressAutoHyphens/>
      <w:overflowPunct w:val="0"/>
      <w:autoSpaceDE w:val="0"/>
      <w:spacing w:after="0" w:line="240" w:lineRule="auto"/>
      <w:ind w:left="283" w:hanging="283"/>
      <w:textAlignment w:val="baseline"/>
    </w:pPr>
    <w:rPr>
      <w:rFonts w:ascii="Times New Roman" w:eastAsia="Times New Roman" w:hAnsi="Times New Roman" w:cs="Times New Roman"/>
      <w:sz w:val="24"/>
      <w:szCs w:val="20"/>
      <w:lang w:eastAsia="ar-SA"/>
    </w:rPr>
  </w:style>
  <w:style w:type="paragraph" w:customStyle="1" w:styleId="Domylnie">
    <w:name w:val="Domyślnie"/>
    <w:rsid w:val="0050481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Legenda">
    <w:name w:val="caption"/>
    <w:basedOn w:val="Normalny"/>
    <w:next w:val="Normalny"/>
    <w:unhideWhenUsed/>
    <w:qFormat/>
    <w:rsid w:val="00A5288D"/>
    <w:pPr>
      <w:spacing w:line="240" w:lineRule="auto"/>
    </w:pPr>
    <w:rPr>
      <w:b/>
      <w:bCs/>
      <w:color w:val="4F81BD" w:themeColor="accent1"/>
      <w:sz w:val="18"/>
      <w:szCs w:val="18"/>
    </w:rPr>
  </w:style>
  <w:style w:type="character" w:styleId="UyteHipercze">
    <w:name w:val="FollowedHyperlink"/>
    <w:basedOn w:val="Domylnaczcionkaakapitu"/>
    <w:uiPriority w:val="99"/>
    <w:semiHidden/>
    <w:unhideWhenUsed/>
    <w:rsid w:val="00196283"/>
    <w:rPr>
      <w:color w:val="800080" w:themeColor="followedHyperlink"/>
      <w:u w:val="single"/>
    </w:rPr>
  </w:style>
  <w:style w:type="character" w:customStyle="1" w:styleId="AkapitzlistZnak">
    <w:name w:val="Akapit z listą Znak"/>
    <w:basedOn w:val="Domylnaczcionkaakapitu"/>
    <w:link w:val="Akapitzlist"/>
    <w:uiPriority w:val="34"/>
    <w:rsid w:val="00FC2C86"/>
    <w:rPr>
      <w:rFonts w:ascii="Times New Roman" w:eastAsia="Times New Roman" w:hAnsi="Times New Roman" w:cs="Times New Roman"/>
      <w:sz w:val="24"/>
      <w:szCs w:val="24"/>
    </w:rPr>
  </w:style>
  <w:style w:type="table" w:styleId="Tabela-Siatka">
    <w:name w:val="Table Grid"/>
    <w:basedOn w:val="Standardowy"/>
    <w:rsid w:val="00810E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E139C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139CB"/>
    <w:rPr>
      <w:sz w:val="20"/>
      <w:szCs w:val="20"/>
    </w:rPr>
  </w:style>
  <w:style w:type="character" w:styleId="Odwoanieprzypisukocowego">
    <w:name w:val="endnote reference"/>
    <w:basedOn w:val="Domylnaczcionkaakapitu"/>
    <w:uiPriority w:val="99"/>
    <w:semiHidden/>
    <w:unhideWhenUsed/>
    <w:rsid w:val="00E139CB"/>
    <w:rPr>
      <w:vertAlign w:val="superscript"/>
    </w:rPr>
  </w:style>
  <w:style w:type="paragraph" w:styleId="Tekstpodstawowy">
    <w:name w:val="Body Text"/>
    <w:basedOn w:val="Normalny"/>
    <w:link w:val="TekstpodstawowyZnak"/>
    <w:uiPriority w:val="99"/>
    <w:semiHidden/>
    <w:unhideWhenUsed/>
    <w:rsid w:val="006B22E2"/>
    <w:pPr>
      <w:spacing w:after="120"/>
    </w:pPr>
  </w:style>
  <w:style w:type="character" w:customStyle="1" w:styleId="TekstpodstawowyZnak">
    <w:name w:val="Tekst podstawowy Znak"/>
    <w:basedOn w:val="Domylnaczcionkaakapitu"/>
    <w:link w:val="Tekstpodstawowy"/>
    <w:uiPriority w:val="99"/>
    <w:semiHidden/>
    <w:rsid w:val="006B22E2"/>
  </w:style>
  <w:style w:type="table" w:customStyle="1" w:styleId="Jasnasiatka">
    <w:name w:val="Light Grid"/>
    <w:basedOn w:val="Standardowy"/>
    <w:uiPriority w:val="62"/>
    <w:rsid w:val="0015257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rdo">
    <w:name w:val="źródło"/>
    <w:basedOn w:val="Normalny"/>
    <w:link w:val="rdoZnak"/>
    <w:qFormat/>
    <w:rsid w:val="003918E5"/>
    <w:pPr>
      <w:spacing w:after="0" w:line="240" w:lineRule="auto"/>
    </w:pPr>
    <w:rPr>
      <w:sz w:val="18"/>
      <w:szCs w:val="18"/>
      <w:lang w:eastAsia="en-US" w:bidi="en-US"/>
    </w:rPr>
  </w:style>
  <w:style w:type="character" w:customStyle="1" w:styleId="rdoZnak">
    <w:name w:val="źródło Znak"/>
    <w:basedOn w:val="Domylnaczcionkaakapitu"/>
    <w:link w:val="rdo"/>
    <w:rsid w:val="003918E5"/>
    <w:rPr>
      <w:sz w:val="18"/>
      <w:szCs w:val="18"/>
      <w:lang w:eastAsia="en-US" w:bidi="en-US"/>
    </w:rPr>
  </w:style>
</w:styles>
</file>

<file path=word/webSettings.xml><?xml version="1.0" encoding="utf-8"?>
<w:webSettings xmlns:r="http://schemas.openxmlformats.org/officeDocument/2006/relationships" xmlns:w="http://schemas.openxmlformats.org/wordprocessingml/2006/main">
  <w:divs>
    <w:div w:id="88237719">
      <w:bodyDiv w:val="1"/>
      <w:marLeft w:val="0"/>
      <w:marRight w:val="0"/>
      <w:marTop w:val="0"/>
      <w:marBottom w:val="0"/>
      <w:divBdr>
        <w:top w:val="none" w:sz="0" w:space="0" w:color="auto"/>
        <w:left w:val="none" w:sz="0" w:space="0" w:color="auto"/>
        <w:bottom w:val="none" w:sz="0" w:space="0" w:color="auto"/>
        <w:right w:val="none" w:sz="0" w:space="0" w:color="auto"/>
      </w:divBdr>
    </w:div>
    <w:div w:id="126969936">
      <w:bodyDiv w:val="1"/>
      <w:marLeft w:val="0"/>
      <w:marRight w:val="0"/>
      <w:marTop w:val="0"/>
      <w:marBottom w:val="0"/>
      <w:divBdr>
        <w:top w:val="none" w:sz="0" w:space="0" w:color="auto"/>
        <w:left w:val="none" w:sz="0" w:space="0" w:color="auto"/>
        <w:bottom w:val="none" w:sz="0" w:space="0" w:color="auto"/>
        <w:right w:val="none" w:sz="0" w:space="0" w:color="auto"/>
      </w:divBdr>
    </w:div>
    <w:div w:id="200556397">
      <w:bodyDiv w:val="1"/>
      <w:marLeft w:val="0"/>
      <w:marRight w:val="0"/>
      <w:marTop w:val="0"/>
      <w:marBottom w:val="0"/>
      <w:divBdr>
        <w:top w:val="none" w:sz="0" w:space="0" w:color="auto"/>
        <w:left w:val="none" w:sz="0" w:space="0" w:color="auto"/>
        <w:bottom w:val="none" w:sz="0" w:space="0" w:color="auto"/>
        <w:right w:val="none" w:sz="0" w:space="0" w:color="auto"/>
      </w:divBdr>
    </w:div>
    <w:div w:id="263880281">
      <w:bodyDiv w:val="1"/>
      <w:marLeft w:val="0"/>
      <w:marRight w:val="0"/>
      <w:marTop w:val="0"/>
      <w:marBottom w:val="0"/>
      <w:divBdr>
        <w:top w:val="none" w:sz="0" w:space="0" w:color="auto"/>
        <w:left w:val="none" w:sz="0" w:space="0" w:color="auto"/>
        <w:bottom w:val="none" w:sz="0" w:space="0" w:color="auto"/>
        <w:right w:val="none" w:sz="0" w:space="0" w:color="auto"/>
      </w:divBdr>
    </w:div>
    <w:div w:id="402147247">
      <w:bodyDiv w:val="1"/>
      <w:marLeft w:val="0"/>
      <w:marRight w:val="0"/>
      <w:marTop w:val="0"/>
      <w:marBottom w:val="0"/>
      <w:divBdr>
        <w:top w:val="none" w:sz="0" w:space="0" w:color="auto"/>
        <w:left w:val="none" w:sz="0" w:space="0" w:color="auto"/>
        <w:bottom w:val="none" w:sz="0" w:space="0" w:color="auto"/>
        <w:right w:val="none" w:sz="0" w:space="0" w:color="auto"/>
      </w:divBdr>
    </w:div>
    <w:div w:id="501547200">
      <w:bodyDiv w:val="1"/>
      <w:marLeft w:val="0"/>
      <w:marRight w:val="0"/>
      <w:marTop w:val="0"/>
      <w:marBottom w:val="0"/>
      <w:divBdr>
        <w:top w:val="none" w:sz="0" w:space="0" w:color="auto"/>
        <w:left w:val="none" w:sz="0" w:space="0" w:color="auto"/>
        <w:bottom w:val="none" w:sz="0" w:space="0" w:color="auto"/>
        <w:right w:val="none" w:sz="0" w:space="0" w:color="auto"/>
      </w:divBdr>
    </w:div>
    <w:div w:id="569656384">
      <w:bodyDiv w:val="1"/>
      <w:marLeft w:val="0"/>
      <w:marRight w:val="0"/>
      <w:marTop w:val="0"/>
      <w:marBottom w:val="0"/>
      <w:divBdr>
        <w:top w:val="none" w:sz="0" w:space="0" w:color="auto"/>
        <w:left w:val="none" w:sz="0" w:space="0" w:color="auto"/>
        <w:bottom w:val="none" w:sz="0" w:space="0" w:color="auto"/>
        <w:right w:val="none" w:sz="0" w:space="0" w:color="auto"/>
      </w:divBdr>
    </w:div>
    <w:div w:id="634263904">
      <w:bodyDiv w:val="1"/>
      <w:marLeft w:val="0"/>
      <w:marRight w:val="0"/>
      <w:marTop w:val="0"/>
      <w:marBottom w:val="0"/>
      <w:divBdr>
        <w:top w:val="none" w:sz="0" w:space="0" w:color="auto"/>
        <w:left w:val="none" w:sz="0" w:space="0" w:color="auto"/>
        <w:bottom w:val="none" w:sz="0" w:space="0" w:color="auto"/>
        <w:right w:val="none" w:sz="0" w:space="0" w:color="auto"/>
      </w:divBdr>
    </w:div>
    <w:div w:id="720255674">
      <w:bodyDiv w:val="1"/>
      <w:marLeft w:val="0"/>
      <w:marRight w:val="0"/>
      <w:marTop w:val="0"/>
      <w:marBottom w:val="0"/>
      <w:divBdr>
        <w:top w:val="none" w:sz="0" w:space="0" w:color="auto"/>
        <w:left w:val="none" w:sz="0" w:space="0" w:color="auto"/>
        <w:bottom w:val="none" w:sz="0" w:space="0" w:color="auto"/>
        <w:right w:val="none" w:sz="0" w:space="0" w:color="auto"/>
      </w:divBdr>
    </w:div>
    <w:div w:id="975067494">
      <w:bodyDiv w:val="1"/>
      <w:marLeft w:val="0"/>
      <w:marRight w:val="0"/>
      <w:marTop w:val="0"/>
      <w:marBottom w:val="0"/>
      <w:divBdr>
        <w:top w:val="none" w:sz="0" w:space="0" w:color="auto"/>
        <w:left w:val="none" w:sz="0" w:space="0" w:color="auto"/>
        <w:bottom w:val="none" w:sz="0" w:space="0" w:color="auto"/>
        <w:right w:val="none" w:sz="0" w:space="0" w:color="auto"/>
      </w:divBdr>
    </w:div>
    <w:div w:id="999886581">
      <w:bodyDiv w:val="1"/>
      <w:marLeft w:val="0"/>
      <w:marRight w:val="0"/>
      <w:marTop w:val="0"/>
      <w:marBottom w:val="0"/>
      <w:divBdr>
        <w:top w:val="none" w:sz="0" w:space="0" w:color="auto"/>
        <w:left w:val="none" w:sz="0" w:space="0" w:color="auto"/>
        <w:bottom w:val="none" w:sz="0" w:space="0" w:color="auto"/>
        <w:right w:val="none" w:sz="0" w:space="0" w:color="auto"/>
      </w:divBdr>
    </w:div>
    <w:div w:id="1101100361">
      <w:bodyDiv w:val="1"/>
      <w:marLeft w:val="0"/>
      <w:marRight w:val="0"/>
      <w:marTop w:val="0"/>
      <w:marBottom w:val="0"/>
      <w:divBdr>
        <w:top w:val="none" w:sz="0" w:space="0" w:color="auto"/>
        <w:left w:val="none" w:sz="0" w:space="0" w:color="auto"/>
        <w:bottom w:val="none" w:sz="0" w:space="0" w:color="auto"/>
        <w:right w:val="none" w:sz="0" w:space="0" w:color="auto"/>
      </w:divBdr>
    </w:div>
    <w:div w:id="1141926317">
      <w:bodyDiv w:val="1"/>
      <w:marLeft w:val="0"/>
      <w:marRight w:val="0"/>
      <w:marTop w:val="0"/>
      <w:marBottom w:val="0"/>
      <w:divBdr>
        <w:top w:val="none" w:sz="0" w:space="0" w:color="auto"/>
        <w:left w:val="none" w:sz="0" w:space="0" w:color="auto"/>
        <w:bottom w:val="none" w:sz="0" w:space="0" w:color="auto"/>
        <w:right w:val="none" w:sz="0" w:space="0" w:color="auto"/>
      </w:divBdr>
    </w:div>
    <w:div w:id="1230919160">
      <w:bodyDiv w:val="1"/>
      <w:marLeft w:val="0"/>
      <w:marRight w:val="0"/>
      <w:marTop w:val="0"/>
      <w:marBottom w:val="0"/>
      <w:divBdr>
        <w:top w:val="none" w:sz="0" w:space="0" w:color="auto"/>
        <w:left w:val="none" w:sz="0" w:space="0" w:color="auto"/>
        <w:bottom w:val="none" w:sz="0" w:space="0" w:color="auto"/>
        <w:right w:val="none" w:sz="0" w:space="0" w:color="auto"/>
      </w:divBdr>
    </w:div>
    <w:div w:id="1261379194">
      <w:bodyDiv w:val="1"/>
      <w:marLeft w:val="0"/>
      <w:marRight w:val="0"/>
      <w:marTop w:val="0"/>
      <w:marBottom w:val="0"/>
      <w:divBdr>
        <w:top w:val="none" w:sz="0" w:space="0" w:color="auto"/>
        <w:left w:val="none" w:sz="0" w:space="0" w:color="auto"/>
        <w:bottom w:val="none" w:sz="0" w:space="0" w:color="auto"/>
        <w:right w:val="none" w:sz="0" w:space="0" w:color="auto"/>
      </w:divBdr>
    </w:div>
    <w:div w:id="1362049282">
      <w:bodyDiv w:val="1"/>
      <w:marLeft w:val="0"/>
      <w:marRight w:val="0"/>
      <w:marTop w:val="0"/>
      <w:marBottom w:val="0"/>
      <w:divBdr>
        <w:top w:val="none" w:sz="0" w:space="0" w:color="auto"/>
        <w:left w:val="none" w:sz="0" w:space="0" w:color="auto"/>
        <w:bottom w:val="none" w:sz="0" w:space="0" w:color="auto"/>
        <w:right w:val="none" w:sz="0" w:space="0" w:color="auto"/>
      </w:divBdr>
    </w:div>
    <w:div w:id="1442266519">
      <w:bodyDiv w:val="1"/>
      <w:marLeft w:val="0"/>
      <w:marRight w:val="0"/>
      <w:marTop w:val="0"/>
      <w:marBottom w:val="0"/>
      <w:divBdr>
        <w:top w:val="none" w:sz="0" w:space="0" w:color="auto"/>
        <w:left w:val="none" w:sz="0" w:space="0" w:color="auto"/>
        <w:bottom w:val="none" w:sz="0" w:space="0" w:color="auto"/>
        <w:right w:val="none" w:sz="0" w:space="0" w:color="auto"/>
      </w:divBdr>
    </w:div>
    <w:div w:id="1599827920">
      <w:bodyDiv w:val="1"/>
      <w:marLeft w:val="0"/>
      <w:marRight w:val="0"/>
      <w:marTop w:val="0"/>
      <w:marBottom w:val="0"/>
      <w:divBdr>
        <w:top w:val="none" w:sz="0" w:space="0" w:color="auto"/>
        <w:left w:val="none" w:sz="0" w:space="0" w:color="auto"/>
        <w:bottom w:val="none" w:sz="0" w:space="0" w:color="auto"/>
        <w:right w:val="none" w:sz="0" w:space="0" w:color="auto"/>
      </w:divBdr>
    </w:div>
    <w:div w:id="1627616455">
      <w:bodyDiv w:val="1"/>
      <w:marLeft w:val="0"/>
      <w:marRight w:val="0"/>
      <w:marTop w:val="0"/>
      <w:marBottom w:val="0"/>
      <w:divBdr>
        <w:top w:val="none" w:sz="0" w:space="0" w:color="auto"/>
        <w:left w:val="none" w:sz="0" w:space="0" w:color="auto"/>
        <w:bottom w:val="none" w:sz="0" w:space="0" w:color="auto"/>
        <w:right w:val="none" w:sz="0" w:space="0" w:color="auto"/>
      </w:divBdr>
    </w:div>
    <w:div w:id="1881239290">
      <w:bodyDiv w:val="1"/>
      <w:marLeft w:val="0"/>
      <w:marRight w:val="0"/>
      <w:marTop w:val="0"/>
      <w:marBottom w:val="0"/>
      <w:divBdr>
        <w:top w:val="none" w:sz="0" w:space="0" w:color="auto"/>
        <w:left w:val="none" w:sz="0" w:space="0" w:color="auto"/>
        <w:bottom w:val="none" w:sz="0" w:space="0" w:color="auto"/>
        <w:right w:val="none" w:sz="0" w:space="0" w:color="auto"/>
      </w:divBdr>
    </w:div>
    <w:div w:id="205430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7.xml"/><Relationship Id="rId68" Type="http://schemas.openxmlformats.org/officeDocument/2006/relationships/chart" Target="charts/chart52.xml"/><Relationship Id="rId84" Type="http://schemas.openxmlformats.org/officeDocument/2006/relationships/chart" Target="charts/chart68.xml"/><Relationship Id="rId89" Type="http://schemas.openxmlformats.org/officeDocument/2006/relationships/chart" Target="charts/chart73.xml"/><Relationship Id="rId7" Type="http://schemas.openxmlformats.org/officeDocument/2006/relationships/endnotes" Target="endnotes.xml"/><Relationship Id="rId71" Type="http://schemas.openxmlformats.org/officeDocument/2006/relationships/chart" Target="charts/chart55.xml"/><Relationship Id="rId92" Type="http://schemas.openxmlformats.org/officeDocument/2006/relationships/chart" Target="charts/chart76.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image" Target="media/image6.png"/><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2.xml"/><Relationship Id="rId66" Type="http://schemas.openxmlformats.org/officeDocument/2006/relationships/chart" Target="charts/chart50.xml"/><Relationship Id="rId74" Type="http://schemas.openxmlformats.org/officeDocument/2006/relationships/chart" Target="charts/chart58.xml"/><Relationship Id="rId79" Type="http://schemas.openxmlformats.org/officeDocument/2006/relationships/chart" Target="charts/chart63.xml"/><Relationship Id="rId87" Type="http://schemas.openxmlformats.org/officeDocument/2006/relationships/chart" Target="charts/chart71.xml"/><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chart" Target="charts/chart45.xml"/><Relationship Id="rId82" Type="http://schemas.openxmlformats.org/officeDocument/2006/relationships/chart" Target="charts/chart66.xml"/><Relationship Id="rId90" Type="http://schemas.openxmlformats.org/officeDocument/2006/relationships/chart" Target="charts/chart74.xml"/><Relationship Id="rId95" Type="http://schemas.openxmlformats.org/officeDocument/2006/relationships/chart" Target="charts/chart79.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19.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image" Target="media/image9.png"/><Relationship Id="rId64" Type="http://schemas.openxmlformats.org/officeDocument/2006/relationships/chart" Target="charts/chart48.xml"/><Relationship Id="rId69" Type="http://schemas.openxmlformats.org/officeDocument/2006/relationships/chart" Target="charts/chart53.xml"/><Relationship Id="rId77" Type="http://schemas.openxmlformats.org/officeDocument/2006/relationships/chart" Target="charts/chart61.xml"/><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hart" Target="charts/chart36.xml"/><Relationship Id="rId72" Type="http://schemas.openxmlformats.org/officeDocument/2006/relationships/chart" Target="charts/chart56.xml"/><Relationship Id="rId80" Type="http://schemas.openxmlformats.org/officeDocument/2006/relationships/chart" Target="charts/chart64.xml"/><Relationship Id="rId85" Type="http://schemas.openxmlformats.org/officeDocument/2006/relationships/chart" Target="charts/chart69.xml"/><Relationship Id="rId93" Type="http://schemas.openxmlformats.org/officeDocument/2006/relationships/chart" Target="charts/chart77.xml"/><Relationship Id="rId98" Type="http://schemas.openxmlformats.org/officeDocument/2006/relationships/chart" Target="charts/chart8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7.emf"/><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3.xml"/><Relationship Id="rId67" Type="http://schemas.openxmlformats.org/officeDocument/2006/relationships/chart" Target="charts/chart51.xml"/><Relationship Id="rId103" Type="http://schemas.openxmlformats.org/officeDocument/2006/relationships/fontTable" Target="fontTable.xml"/><Relationship Id="rId20" Type="http://schemas.openxmlformats.org/officeDocument/2006/relationships/chart" Target="charts/chart10.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6.xml"/><Relationship Id="rId70" Type="http://schemas.openxmlformats.org/officeDocument/2006/relationships/chart" Target="charts/chart54.xml"/><Relationship Id="rId75" Type="http://schemas.openxmlformats.org/officeDocument/2006/relationships/chart" Target="charts/chart59.xml"/><Relationship Id="rId83" Type="http://schemas.openxmlformats.org/officeDocument/2006/relationships/chart" Target="charts/chart67.xml"/><Relationship Id="rId88" Type="http://schemas.openxmlformats.org/officeDocument/2006/relationships/chart" Target="charts/chart72.xml"/><Relationship Id="rId91" Type="http://schemas.openxmlformats.org/officeDocument/2006/relationships/chart" Target="charts/chart75.xml"/><Relationship Id="rId96" Type="http://schemas.openxmlformats.org/officeDocument/2006/relationships/chart" Target="charts/chart8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4.jpeg"/><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1.xml"/><Relationship Id="rId10" Type="http://schemas.openxmlformats.org/officeDocument/2006/relationships/chart" Target="charts/chart2.xml"/><Relationship Id="rId31" Type="http://schemas.openxmlformats.org/officeDocument/2006/relationships/image" Target="media/image5.png"/><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chart" Target="charts/chart57.xml"/><Relationship Id="rId78" Type="http://schemas.openxmlformats.org/officeDocument/2006/relationships/chart" Target="charts/chart62.xml"/><Relationship Id="rId81" Type="http://schemas.openxmlformats.org/officeDocument/2006/relationships/chart" Target="charts/chart65.xml"/><Relationship Id="rId86" Type="http://schemas.openxmlformats.org/officeDocument/2006/relationships/chart" Target="charts/chart70.xml"/><Relationship Id="rId94" Type="http://schemas.openxmlformats.org/officeDocument/2006/relationships/chart" Target="charts/chart78.xml"/><Relationship Id="rId99" Type="http://schemas.openxmlformats.org/officeDocument/2006/relationships/chart" Target="charts/chart83.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chart" Target="charts/chart8.xml"/><Relationship Id="rId39" Type="http://schemas.openxmlformats.org/officeDocument/2006/relationships/chart" Target="charts/chart24.xml"/><Relationship Id="rId34" Type="http://schemas.openxmlformats.org/officeDocument/2006/relationships/image" Target="media/image8.jpeg"/><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chart" Target="charts/chart60.xml"/><Relationship Id="rId97" Type="http://schemas.openxmlformats.org/officeDocument/2006/relationships/chart" Target="charts/chart81.xm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Iwona\Documents\Pobiedziska\wiek%20produkcyjny.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wona\Documents\Projekty\Strategia%20Pobiedzisk\udzia&#322;%20bezrobotnych-por&#243;wnani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wona\Documents\Projekty\Strategia%20Pobiedzisk\udzia&#322;%20bezrobotnych-por&#243;wnani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wona\Documents\Pobiedziska\wiek%20produkcyjny.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bud&#380;et%20(Odzyskany).xm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bud&#380;et%20(Odzyskany).xml"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Iwona\Documents\Projekty\Strategia%20Pobiedzisk\wiek%20produkcyjny.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Iwona\Documents\Projekty\Strategia%20Pobiedzisk\wiek%20produkcyjny.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Iwona\Documents\Projekty\Strategia%20Pobiedzisk\wiek%20produkcyjny.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wona\Documents\Pobiedziska\wiek%20produkcyjny.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Iwona\Documents\Projekty\Strategia%20Pobiedzisk\dane%20podmioty%2020010.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Iwona\Documents\Projekty\Strategia%20Pobiedzisk\dane%20podmioty%2020010.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wona\Documents\Pobiedziska\wiek%20produkcyjny.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Documents%20and%20Settings\W&#322;a&#347;ciciel\Pulpit\Anita\Pobiedziska\gminy.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wona\Documents\Pobiedziska\wiek%20produkcyjny.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wona\Documents\Pobiedziska\wiek%20produkcyjny.xls"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wona\Documents\Projekty\Strategia%20Pobiedzisk\Bezrobotni.xls"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Iwona\AppData\Local\Microsoft\Windows\Temporary%20Internet%20Files\Content.Outlook\UZ030FG1\Spis_Pobiedziska.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Marcin\Documents\Pobiedziska%20-%20strategia\Badania%20spo&#322;eczne\Poznaniacy\Opracowanie%20Baza%20-%20ankiety_Poznaniacy.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Marcin\Documents\Pobiedziska%20-%20strategia\Badania%20spo&#322;eczne\Poznaniacy\Opracowanie%20Baza%20-%20ankiety_Poznaniacy.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Marcin\Documents\Pobiedziska%20-%20strategia\Badania%20spo&#322;eczne\Poznaniacy\Opracowanie%20Baza%20-%20ankiety_Poznaniacy.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Marcin\Documents\Pobiedziska%20-%20strategia\Badania%20spo&#322;eczne\Poznaniacy\Opracowanie%20Baza%20-%20ankiety_Poznaniacy.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Marcin\Documents\Pobiedziska%20-%20strategia\Badania%20spo&#322;eczne\Poznaniacy\Opracowanie%20Baza%20-%20ankiety_Poznaniacy.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Iwona\Documents\Projekty\Strategia%20Pobiedzisk\bezrobotni%20wiek.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Marcin\Documents\Pobiedziska%20-%20strategia\Badania%20spo&#322;eczne\Poznaniacy\Opracowanie%20Baza%20-%20ankiety_Poznaniacy.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Marcin\Documents\Pobiedziska%20-%20strategia\Badania%20spo&#322;eczne\Przedsi&#281;biorcy\Obliczenia_ankiety_przedsiebiorcy.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Marcin\Documents\Pobiedziska%20-%20strategia\Badania%20spo&#322;eczne\Przedsi&#281;biorcy\Obliczenia_ankiety_przedsiebiorcy.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Marcin\Documents\Pobiedziska%20-%20strategia\Badania%20spo&#322;eczne\Przedsi&#281;biorcy\Obliczenia_ankiety_przedsiebiorc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wona\Documents\Projekty\Strategia%20Pobiedzisk\bezrobotni%20wie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1000"/>
            </a:pPr>
            <a:r>
              <a:rPr lang="pl-PL" sz="1000"/>
              <a:t>Liczba</a:t>
            </a:r>
            <a:r>
              <a:rPr lang="pl-PL" sz="1000" baseline="0"/>
              <a:t> ludności gminy Pobiedziska w latach 1995-2010</a:t>
            </a:r>
            <a:endParaRPr lang="pl-PL" sz="1000"/>
          </a:p>
        </c:rich>
      </c:tx>
    </c:title>
    <c:plotArea>
      <c:layout>
        <c:manualLayout>
          <c:layoutTarget val="inner"/>
          <c:xMode val="edge"/>
          <c:yMode val="edge"/>
          <c:x val="0.14517863017646448"/>
          <c:y val="0.13592625358339988"/>
          <c:w val="0.824504976923084"/>
          <c:h val="0.63874877285383247"/>
        </c:manualLayout>
      </c:layout>
      <c:lineChart>
        <c:grouping val="standard"/>
        <c:ser>
          <c:idx val="0"/>
          <c:order val="0"/>
          <c:tx>
            <c:v>gmina Pobiedziska</c:v>
          </c:tx>
          <c:spPr>
            <a:ln w="38100"/>
          </c:spPr>
          <c:marker>
            <c:symbol val="none"/>
          </c:marker>
          <c:cat>
            <c:strRef>
              <c:f>'Dane wg podgr. cech'!$C$39:$R$39</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'Dane wg podgr. cech'!$C$41:$R$41</c:f>
              <c:numCache>
                <c:formatCode>#,##0</c:formatCode>
                <c:ptCount val="16"/>
                <c:pt idx="0">
                  <c:v>14278</c:v>
                </c:pt>
                <c:pt idx="1">
                  <c:v>14502</c:v>
                </c:pt>
                <c:pt idx="2">
                  <c:v>14639</c:v>
                </c:pt>
                <c:pt idx="3">
                  <c:v>14777</c:v>
                </c:pt>
                <c:pt idx="4">
                  <c:v>14943</c:v>
                </c:pt>
                <c:pt idx="5">
                  <c:v>15038</c:v>
                </c:pt>
                <c:pt idx="6">
                  <c:v>15230</c:v>
                </c:pt>
                <c:pt idx="7">
                  <c:v>15427</c:v>
                </c:pt>
                <c:pt idx="8">
                  <c:v>15647</c:v>
                </c:pt>
                <c:pt idx="9">
                  <c:v>15942</c:v>
                </c:pt>
                <c:pt idx="10">
                  <c:v>16214</c:v>
                </c:pt>
                <c:pt idx="11">
                  <c:v>16464</c:v>
                </c:pt>
                <c:pt idx="12">
                  <c:v>16896</c:v>
                </c:pt>
                <c:pt idx="13">
                  <c:v>17211</c:v>
                </c:pt>
                <c:pt idx="14">
                  <c:v>17580</c:v>
                </c:pt>
                <c:pt idx="15">
                  <c:v>17915</c:v>
                </c:pt>
              </c:numCache>
            </c:numRef>
          </c:val>
        </c:ser>
        <c:ser>
          <c:idx val="1"/>
          <c:order val="1"/>
          <c:tx>
            <c:v>miasto</c:v>
          </c:tx>
          <c:spPr>
            <a:ln w="38100"/>
          </c:spPr>
          <c:marker>
            <c:symbol val="none"/>
          </c:marker>
          <c:cat>
            <c:strRef>
              <c:f>'Dane wg podgr. cech'!$C$39:$R$39</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'Dane wg podgr. cech'!$C$45:$R$45</c:f>
              <c:numCache>
                <c:formatCode>#,##0</c:formatCode>
                <c:ptCount val="16"/>
                <c:pt idx="0">
                  <c:v>7630</c:v>
                </c:pt>
                <c:pt idx="1">
                  <c:v>7759</c:v>
                </c:pt>
                <c:pt idx="2">
                  <c:v>7856</c:v>
                </c:pt>
                <c:pt idx="3">
                  <c:v>7884</c:v>
                </c:pt>
                <c:pt idx="4">
                  <c:v>7893</c:v>
                </c:pt>
                <c:pt idx="5">
                  <c:v>7903</c:v>
                </c:pt>
                <c:pt idx="6">
                  <c:v>8006</c:v>
                </c:pt>
                <c:pt idx="7">
                  <c:v>8065</c:v>
                </c:pt>
                <c:pt idx="8">
                  <c:v>8118</c:v>
                </c:pt>
                <c:pt idx="9">
                  <c:v>8209</c:v>
                </c:pt>
                <c:pt idx="10">
                  <c:v>8271</c:v>
                </c:pt>
                <c:pt idx="11">
                  <c:v>8323</c:v>
                </c:pt>
                <c:pt idx="12">
                  <c:v>8458</c:v>
                </c:pt>
                <c:pt idx="13">
                  <c:v>8534</c:v>
                </c:pt>
                <c:pt idx="14">
                  <c:v>8677</c:v>
                </c:pt>
                <c:pt idx="15">
                  <c:v>8748</c:v>
                </c:pt>
              </c:numCache>
            </c:numRef>
          </c:val>
        </c:ser>
        <c:ser>
          <c:idx val="2"/>
          <c:order val="2"/>
          <c:tx>
            <c:v>obszar wiejski</c:v>
          </c:tx>
          <c:spPr>
            <a:ln w="38100"/>
          </c:spPr>
          <c:marker>
            <c:symbol val="none"/>
          </c:marker>
          <c:cat>
            <c:strRef>
              <c:f>'Dane wg podgr. cech'!$C$39:$R$39</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'Dane wg podgr. cech'!$C$46:$R$46</c:f>
              <c:numCache>
                <c:formatCode>#,##0</c:formatCode>
                <c:ptCount val="16"/>
                <c:pt idx="0">
                  <c:v>6648</c:v>
                </c:pt>
                <c:pt idx="1">
                  <c:v>6743</c:v>
                </c:pt>
                <c:pt idx="2">
                  <c:v>6783</c:v>
                </c:pt>
                <c:pt idx="3">
                  <c:v>6893</c:v>
                </c:pt>
                <c:pt idx="4">
                  <c:v>7050</c:v>
                </c:pt>
                <c:pt idx="5">
                  <c:v>7135</c:v>
                </c:pt>
                <c:pt idx="6">
                  <c:v>7224</c:v>
                </c:pt>
                <c:pt idx="7">
                  <c:v>7362</c:v>
                </c:pt>
                <c:pt idx="8">
                  <c:v>7529</c:v>
                </c:pt>
                <c:pt idx="9">
                  <c:v>7733</c:v>
                </c:pt>
                <c:pt idx="10">
                  <c:v>7943</c:v>
                </c:pt>
                <c:pt idx="11">
                  <c:v>8141</c:v>
                </c:pt>
                <c:pt idx="12">
                  <c:v>8438</c:v>
                </c:pt>
                <c:pt idx="13">
                  <c:v>8677</c:v>
                </c:pt>
                <c:pt idx="14">
                  <c:v>8903</c:v>
                </c:pt>
                <c:pt idx="15">
                  <c:v>9167</c:v>
                </c:pt>
              </c:numCache>
            </c:numRef>
          </c:val>
        </c:ser>
        <c:marker val="1"/>
        <c:axId val="122201984"/>
        <c:axId val="122345728"/>
      </c:lineChart>
      <c:catAx>
        <c:axId val="122201984"/>
        <c:scaling>
          <c:orientation val="minMax"/>
        </c:scaling>
        <c:axPos val="b"/>
        <c:numFmt formatCode="General" sourceLinked="1"/>
        <c:majorTickMark val="none"/>
        <c:tickLblPos val="nextTo"/>
        <c:txPr>
          <a:bodyPr rot="-2100000"/>
          <a:lstStyle/>
          <a:p>
            <a:pPr>
              <a:defRPr sz="800"/>
            </a:pPr>
            <a:endParaRPr lang="pl-PL"/>
          </a:p>
        </c:txPr>
        <c:crossAx val="122345728"/>
        <c:crosses val="autoZero"/>
        <c:auto val="1"/>
        <c:lblAlgn val="ctr"/>
        <c:lblOffset val="100"/>
      </c:catAx>
      <c:valAx>
        <c:axId val="122345728"/>
        <c:scaling>
          <c:orientation val="minMax"/>
          <c:min val="5000"/>
        </c:scaling>
        <c:axPos val="l"/>
        <c:majorGridlines/>
        <c:title>
          <c:tx>
            <c:rich>
              <a:bodyPr/>
              <a:lstStyle/>
              <a:p>
                <a:pPr>
                  <a:defRPr/>
                </a:pPr>
                <a:r>
                  <a:rPr lang="pl-PL" sz="900" b="0"/>
                  <a:t>osoby</a:t>
                </a:r>
                <a:endParaRPr lang="en-US" sz="900" b="0"/>
              </a:p>
            </c:rich>
          </c:tx>
        </c:title>
        <c:numFmt formatCode="#,##0" sourceLinked="1"/>
        <c:majorTickMark val="none"/>
        <c:tickLblPos val="nextTo"/>
        <c:txPr>
          <a:bodyPr/>
          <a:lstStyle/>
          <a:p>
            <a:pPr>
              <a:defRPr sz="800"/>
            </a:pPr>
            <a:endParaRPr lang="pl-PL"/>
          </a:p>
        </c:txPr>
        <c:crossAx val="122201984"/>
        <c:crosses val="autoZero"/>
        <c:crossBetween val="between"/>
      </c:valAx>
      <c:spPr>
        <a:solidFill>
          <a:schemeClr val="bg1">
            <a:lumMod val="95000"/>
          </a:schemeClr>
        </a:solidFill>
      </c:spPr>
    </c:plotArea>
    <c:legend>
      <c:legendPos val="b"/>
      <c:layout>
        <c:manualLayout>
          <c:xMode val="edge"/>
          <c:yMode val="edge"/>
          <c:x val="0.11825951163913007"/>
          <c:y val="0.91601503871363654"/>
          <c:w val="0.76348097672173987"/>
          <c:h val="8.3984961286363416E-2"/>
        </c:manualLayout>
      </c:layout>
      <c:txPr>
        <a:bodyPr/>
        <a:lstStyle/>
        <a:p>
          <a:pPr>
            <a:defRPr sz="900"/>
          </a:pPr>
          <a:endParaRPr lang="pl-PL"/>
        </a:p>
      </c:txPr>
    </c:legend>
    <c:plotVisOnly val="1"/>
    <c:dispBlanksAs val="zero"/>
  </c:chart>
  <c:spPr>
    <a:solidFill>
      <a:schemeClr val="bg1">
        <a:lumMod val="95000"/>
      </a:schemeClr>
    </a:solidFill>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lgn="ctr">
              <a:defRPr sz="1000"/>
            </a:pPr>
            <a:r>
              <a:rPr lang="pl-PL" sz="1000"/>
              <a:t>Udział bezrobotnych w liczbie ludności w wieku produkcyjnym - Pobiedziska na tle wybranych gmin miejsko-wiejskich w Wielkopolsce</a:t>
            </a:r>
          </a:p>
        </c:rich>
      </c:tx>
      <c:layout>
        <c:manualLayout>
          <c:xMode val="edge"/>
          <c:yMode val="edge"/>
          <c:x val="0.12822337293267"/>
          <c:y val="0"/>
        </c:manualLayout>
      </c:layout>
    </c:title>
    <c:plotArea>
      <c:layout>
        <c:manualLayout>
          <c:layoutTarget val="inner"/>
          <c:xMode val="edge"/>
          <c:yMode val="edge"/>
          <c:x val="0.27539540655205835"/>
          <c:y val="0.16975328023480571"/>
          <c:w val="0.69089200316501231"/>
          <c:h val="0.7316320867454269"/>
        </c:manualLayout>
      </c:layout>
      <c:barChart>
        <c:barDir val="bar"/>
        <c:grouping val="clustered"/>
        <c:ser>
          <c:idx val="0"/>
          <c:order val="0"/>
          <c:tx>
            <c:strRef>
              <c:f>Arkusz3!$A$4</c:f>
              <c:strCache>
                <c:ptCount val="1"/>
                <c:pt idx="0">
                  <c:v>ogółem</c:v>
                </c:pt>
              </c:strCache>
            </c:strRef>
          </c:tx>
          <c:cat>
            <c:strRef>
              <c:f>DATA!$B$29:$B$38</c:f>
              <c:strCache>
                <c:ptCount val="10"/>
                <c:pt idx="0">
                  <c:v>Grodzisk Wielkopolski</c:v>
                </c:pt>
                <c:pt idx="1">
                  <c:v>Rogoźno</c:v>
                </c:pt>
                <c:pt idx="2">
                  <c:v>Nowe Skalmierzyce</c:v>
                </c:pt>
                <c:pt idx="3">
                  <c:v>Międzychód</c:v>
                </c:pt>
                <c:pt idx="4">
                  <c:v>Śmigiel</c:v>
                </c:pt>
                <c:pt idx="5">
                  <c:v>Wronki</c:v>
                </c:pt>
                <c:pt idx="6">
                  <c:v>Opalenica</c:v>
                </c:pt>
                <c:pt idx="7">
                  <c:v>Murowana Goślina</c:v>
                </c:pt>
                <c:pt idx="8">
                  <c:v>Pobiedziska</c:v>
                </c:pt>
                <c:pt idx="9">
                  <c:v>Kostrzyn</c:v>
                </c:pt>
              </c:strCache>
            </c:strRef>
          </c:cat>
          <c:val>
            <c:numRef>
              <c:f>DATA!$A$29:$A$38</c:f>
              <c:numCache>
                <c:formatCode>0.0</c:formatCode>
                <c:ptCount val="10"/>
                <c:pt idx="0">
                  <c:v>6</c:v>
                </c:pt>
                <c:pt idx="1">
                  <c:v>6</c:v>
                </c:pt>
                <c:pt idx="2">
                  <c:v>5.4</c:v>
                </c:pt>
                <c:pt idx="3">
                  <c:v>4.9000000000000004</c:v>
                </c:pt>
                <c:pt idx="4">
                  <c:v>4.9000000000000004</c:v>
                </c:pt>
                <c:pt idx="5">
                  <c:v>4.7</c:v>
                </c:pt>
                <c:pt idx="6">
                  <c:v>3</c:v>
                </c:pt>
                <c:pt idx="7">
                  <c:v>2.7</c:v>
                </c:pt>
                <c:pt idx="8">
                  <c:v>2.7</c:v>
                </c:pt>
                <c:pt idx="9">
                  <c:v>2.6</c:v>
                </c:pt>
              </c:numCache>
            </c:numRef>
          </c:val>
        </c:ser>
        <c:ser>
          <c:idx val="1"/>
          <c:order val="1"/>
          <c:tx>
            <c:strRef>
              <c:f>Arkusz3!$C$2</c:f>
              <c:strCache>
                <c:ptCount val="1"/>
                <c:pt idx="0">
                  <c:v>mężczyźni</c:v>
                </c:pt>
              </c:strCache>
            </c:strRef>
          </c:tx>
          <c:cat>
            <c:strRef>
              <c:f>DATA!$B$29:$B$38</c:f>
              <c:strCache>
                <c:ptCount val="10"/>
                <c:pt idx="0">
                  <c:v>Grodzisk Wielkopolski</c:v>
                </c:pt>
                <c:pt idx="1">
                  <c:v>Rogoźno</c:v>
                </c:pt>
                <c:pt idx="2">
                  <c:v>Nowe Skalmierzyce</c:v>
                </c:pt>
                <c:pt idx="3">
                  <c:v>Międzychód</c:v>
                </c:pt>
                <c:pt idx="4">
                  <c:v>Śmigiel</c:v>
                </c:pt>
                <c:pt idx="5">
                  <c:v>Wronki</c:v>
                </c:pt>
                <c:pt idx="6">
                  <c:v>Opalenica</c:v>
                </c:pt>
                <c:pt idx="7">
                  <c:v>Murowana Goślina</c:v>
                </c:pt>
                <c:pt idx="8">
                  <c:v>Pobiedziska</c:v>
                </c:pt>
                <c:pt idx="9">
                  <c:v>Kostrzyn</c:v>
                </c:pt>
              </c:strCache>
            </c:strRef>
          </c:cat>
          <c:val>
            <c:numRef>
              <c:f>DATA!$C$29:$C$38</c:f>
              <c:numCache>
                <c:formatCode>0.0</c:formatCode>
                <c:ptCount val="10"/>
                <c:pt idx="0">
                  <c:v>5.8</c:v>
                </c:pt>
                <c:pt idx="1">
                  <c:v>4.5999999999999996</c:v>
                </c:pt>
                <c:pt idx="2">
                  <c:v>4.9000000000000004</c:v>
                </c:pt>
                <c:pt idx="3">
                  <c:v>3.7</c:v>
                </c:pt>
                <c:pt idx="4">
                  <c:v>3.8</c:v>
                </c:pt>
                <c:pt idx="5">
                  <c:v>3.4</c:v>
                </c:pt>
                <c:pt idx="6">
                  <c:v>3</c:v>
                </c:pt>
                <c:pt idx="7">
                  <c:v>2.1</c:v>
                </c:pt>
                <c:pt idx="8">
                  <c:v>2.5</c:v>
                </c:pt>
                <c:pt idx="9">
                  <c:v>2.2000000000000002</c:v>
                </c:pt>
              </c:numCache>
            </c:numRef>
          </c:val>
        </c:ser>
        <c:ser>
          <c:idx val="2"/>
          <c:order val="2"/>
          <c:tx>
            <c:strRef>
              <c:f>Arkusz3!$D$2</c:f>
              <c:strCache>
                <c:ptCount val="1"/>
                <c:pt idx="0">
                  <c:v>kobiety</c:v>
                </c:pt>
              </c:strCache>
            </c:strRef>
          </c:tx>
          <c:cat>
            <c:strRef>
              <c:f>DATA!$B$29:$B$38</c:f>
              <c:strCache>
                <c:ptCount val="10"/>
                <c:pt idx="0">
                  <c:v>Grodzisk Wielkopolski</c:v>
                </c:pt>
                <c:pt idx="1">
                  <c:v>Rogoźno</c:v>
                </c:pt>
                <c:pt idx="2">
                  <c:v>Nowe Skalmierzyce</c:v>
                </c:pt>
                <c:pt idx="3">
                  <c:v>Międzychód</c:v>
                </c:pt>
                <c:pt idx="4">
                  <c:v>Śmigiel</c:v>
                </c:pt>
                <c:pt idx="5">
                  <c:v>Wronki</c:v>
                </c:pt>
                <c:pt idx="6">
                  <c:v>Opalenica</c:v>
                </c:pt>
                <c:pt idx="7">
                  <c:v>Murowana Goślina</c:v>
                </c:pt>
                <c:pt idx="8">
                  <c:v>Pobiedziska</c:v>
                </c:pt>
                <c:pt idx="9">
                  <c:v>Kostrzyn</c:v>
                </c:pt>
              </c:strCache>
            </c:strRef>
          </c:cat>
          <c:val>
            <c:numRef>
              <c:f>DATA!$D$29:$D$38</c:f>
              <c:numCache>
                <c:formatCode>0.0</c:formatCode>
                <c:ptCount val="10"/>
                <c:pt idx="0">
                  <c:v>6.2</c:v>
                </c:pt>
                <c:pt idx="1">
                  <c:v>7.5</c:v>
                </c:pt>
                <c:pt idx="2">
                  <c:v>5.9</c:v>
                </c:pt>
                <c:pt idx="3">
                  <c:v>6.3</c:v>
                </c:pt>
                <c:pt idx="4">
                  <c:v>6.1</c:v>
                </c:pt>
                <c:pt idx="5">
                  <c:v>6.2</c:v>
                </c:pt>
                <c:pt idx="6">
                  <c:v>3</c:v>
                </c:pt>
                <c:pt idx="7">
                  <c:v>3.3</c:v>
                </c:pt>
                <c:pt idx="8">
                  <c:v>2.9</c:v>
                </c:pt>
                <c:pt idx="9">
                  <c:v>2.9</c:v>
                </c:pt>
              </c:numCache>
            </c:numRef>
          </c:val>
        </c:ser>
        <c:axId val="139856896"/>
        <c:axId val="139887360"/>
      </c:barChart>
      <c:catAx>
        <c:axId val="139856896"/>
        <c:scaling>
          <c:orientation val="minMax"/>
        </c:scaling>
        <c:axPos val="l"/>
        <c:majorTickMark val="none"/>
        <c:tickLblPos val="nextTo"/>
        <c:txPr>
          <a:bodyPr/>
          <a:lstStyle/>
          <a:p>
            <a:pPr>
              <a:defRPr sz="900"/>
            </a:pPr>
            <a:endParaRPr lang="pl-PL"/>
          </a:p>
        </c:txPr>
        <c:crossAx val="139887360"/>
        <c:crosses val="autoZero"/>
        <c:auto val="1"/>
        <c:lblAlgn val="ctr"/>
        <c:lblOffset val="100"/>
      </c:catAx>
      <c:valAx>
        <c:axId val="139887360"/>
        <c:scaling>
          <c:orientation val="minMax"/>
        </c:scaling>
        <c:axPos val="b"/>
        <c:majorGridlines/>
        <c:numFmt formatCode="0.0" sourceLinked="1"/>
        <c:majorTickMark val="none"/>
        <c:tickLblPos val="nextTo"/>
        <c:txPr>
          <a:bodyPr/>
          <a:lstStyle/>
          <a:p>
            <a:pPr>
              <a:defRPr sz="800"/>
            </a:pPr>
            <a:endParaRPr lang="pl-PL"/>
          </a:p>
        </c:txPr>
        <c:crossAx val="139856896"/>
        <c:crosses val="autoZero"/>
        <c:crossBetween val="between"/>
        <c:majorUnit val="1"/>
      </c:valAx>
      <c:spPr>
        <a:solidFill>
          <a:schemeClr val="bg1">
            <a:lumMod val="95000"/>
          </a:schemeClr>
        </a:solidFill>
      </c:spPr>
    </c:plotArea>
    <c:legend>
      <c:legendPos val="b"/>
      <c:layout>
        <c:manualLayout>
          <c:xMode val="edge"/>
          <c:yMode val="edge"/>
          <c:x val="0.73217898575266727"/>
          <c:y val="0.14664960759153722"/>
          <c:w val="0.23384377444268686"/>
          <c:h val="0.21791314940455078"/>
        </c:manualLayout>
      </c:layout>
      <c:spPr>
        <a:solidFill>
          <a:schemeClr val="bg1">
            <a:lumMod val="95000"/>
          </a:schemeClr>
        </a:solidFill>
      </c:spPr>
      <c:txPr>
        <a:bodyPr/>
        <a:lstStyle/>
        <a:p>
          <a:pPr>
            <a:defRPr sz="900"/>
          </a:pPr>
          <a:endParaRPr lang="pl-PL"/>
        </a:p>
      </c:txPr>
    </c:legend>
    <c:plotVisOnly val="1"/>
  </c:chart>
  <c:spPr>
    <a:solidFill>
      <a:schemeClr val="bg1">
        <a:lumMod val="95000"/>
      </a:schemeClr>
    </a:solid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en-US" sz="1000"/>
              <a:t>Udział bezrobotnych w liczbie ludności w wieku produkcyjnym - Pobiedziska na tle kraju, województwa oraz gmin aglomeracji poznańskiej</a:t>
            </a:r>
          </a:p>
        </c:rich>
      </c:tx>
      <c:layout>
        <c:manualLayout>
          <c:xMode val="edge"/>
          <c:yMode val="edge"/>
          <c:x val="0.12750587603439806"/>
          <c:y val="0"/>
        </c:manualLayout>
      </c:layout>
    </c:title>
    <c:plotArea>
      <c:layout>
        <c:manualLayout>
          <c:layoutTarget val="inner"/>
          <c:xMode val="edge"/>
          <c:yMode val="edge"/>
          <c:x val="0.24768133538756712"/>
          <c:y val="0.13462095563507387"/>
          <c:w val="0.71381698988564035"/>
          <c:h val="0.80072639007092339"/>
        </c:manualLayout>
      </c:layout>
      <c:barChart>
        <c:barDir val="bar"/>
        <c:grouping val="clustered"/>
        <c:ser>
          <c:idx val="0"/>
          <c:order val="0"/>
          <c:tx>
            <c:strRef>
              <c:f>Arkusz3!$A$4</c:f>
              <c:strCache>
                <c:ptCount val="1"/>
                <c:pt idx="0">
                  <c:v>ogółem</c:v>
                </c:pt>
              </c:strCache>
            </c:strRef>
          </c:tx>
          <c:cat>
            <c:strRef>
              <c:f>Arkusz3!$B$5:$B$27</c:f>
              <c:strCache>
                <c:ptCount val="23"/>
                <c:pt idx="0">
                  <c:v>Polska</c:v>
                </c:pt>
                <c:pt idx="1">
                  <c:v>woj. wielkopolskie</c:v>
                </c:pt>
                <c:pt idx="2">
                  <c:v>Skoki</c:v>
                </c:pt>
                <c:pt idx="3">
                  <c:v>Szamotuły</c:v>
                </c:pt>
                <c:pt idx="4">
                  <c:v>Oborniki</c:v>
                </c:pt>
                <c:pt idx="5">
                  <c:v>Śrem</c:v>
                </c:pt>
                <c:pt idx="6">
                  <c:v>Murowana Goślina</c:v>
                </c:pt>
                <c:pt idx="7">
                  <c:v>Mosina</c:v>
                </c:pt>
                <c:pt idx="8">
                  <c:v>Pobiedziska</c:v>
                </c:pt>
                <c:pt idx="9">
                  <c:v>Kostrzyn</c:v>
                </c:pt>
                <c:pt idx="10">
                  <c:v>Luboń</c:v>
                </c:pt>
                <c:pt idx="11">
                  <c:v>Stęszew</c:v>
                </c:pt>
                <c:pt idx="12">
                  <c:v>Puszczykowo</c:v>
                </c:pt>
                <c:pt idx="13">
                  <c:v>Buk</c:v>
                </c:pt>
                <c:pt idx="14">
                  <c:v>Kleszczewo</c:v>
                </c:pt>
                <c:pt idx="15">
                  <c:v>Swarzędz</c:v>
                </c:pt>
                <c:pt idx="16">
                  <c:v>Dopiewo</c:v>
                </c:pt>
                <c:pt idx="17">
                  <c:v>Czerwonak</c:v>
                </c:pt>
                <c:pt idx="18">
                  <c:v>Suchy Las</c:v>
                </c:pt>
                <c:pt idx="19">
                  <c:v>Tarnowo Podgórne</c:v>
                </c:pt>
                <c:pt idx="20">
                  <c:v>Komorniki</c:v>
                </c:pt>
                <c:pt idx="21">
                  <c:v>Kórnik</c:v>
                </c:pt>
                <c:pt idx="22">
                  <c:v>Rokietnica</c:v>
                </c:pt>
              </c:strCache>
            </c:strRef>
          </c:cat>
          <c:val>
            <c:numRef>
              <c:f>Arkusz3!$A$5:$A$27</c:f>
              <c:numCache>
                <c:formatCode>0.0</c:formatCode>
                <c:ptCount val="23"/>
                <c:pt idx="0">
                  <c:v>7.9</c:v>
                </c:pt>
                <c:pt idx="1">
                  <c:v>6.1</c:v>
                </c:pt>
                <c:pt idx="2">
                  <c:v>9.5</c:v>
                </c:pt>
                <c:pt idx="3">
                  <c:v>7.8</c:v>
                </c:pt>
                <c:pt idx="4">
                  <c:v>5.5</c:v>
                </c:pt>
                <c:pt idx="5">
                  <c:v>4.9000000000000004</c:v>
                </c:pt>
                <c:pt idx="6">
                  <c:v>2.7</c:v>
                </c:pt>
                <c:pt idx="7">
                  <c:v>2.7</c:v>
                </c:pt>
                <c:pt idx="8">
                  <c:v>2.7</c:v>
                </c:pt>
                <c:pt idx="9">
                  <c:v>2.6</c:v>
                </c:pt>
                <c:pt idx="10">
                  <c:v>2.6</c:v>
                </c:pt>
                <c:pt idx="11">
                  <c:v>2.6</c:v>
                </c:pt>
                <c:pt idx="12">
                  <c:v>2.5</c:v>
                </c:pt>
                <c:pt idx="13">
                  <c:v>2.4</c:v>
                </c:pt>
                <c:pt idx="14">
                  <c:v>2.2999999999999998</c:v>
                </c:pt>
                <c:pt idx="15">
                  <c:v>2.2999999999999998</c:v>
                </c:pt>
                <c:pt idx="16">
                  <c:v>2.2000000000000002</c:v>
                </c:pt>
                <c:pt idx="17">
                  <c:v>2.1</c:v>
                </c:pt>
                <c:pt idx="18">
                  <c:v>2</c:v>
                </c:pt>
                <c:pt idx="19">
                  <c:v>2</c:v>
                </c:pt>
                <c:pt idx="20">
                  <c:v>1.9000000000000001</c:v>
                </c:pt>
                <c:pt idx="21">
                  <c:v>1.9000000000000001</c:v>
                </c:pt>
                <c:pt idx="22">
                  <c:v>1.9000000000000001</c:v>
                </c:pt>
              </c:numCache>
            </c:numRef>
          </c:val>
        </c:ser>
        <c:ser>
          <c:idx val="1"/>
          <c:order val="1"/>
          <c:tx>
            <c:strRef>
              <c:f>Arkusz3!$C$2</c:f>
              <c:strCache>
                <c:ptCount val="1"/>
                <c:pt idx="0">
                  <c:v>mężczyźni</c:v>
                </c:pt>
              </c:strCache>
            </c:strRef>
          </c:tx>
          <c:cat>
            <c:strRef>
              <c:f>Arkusz3!$B$5:$B$27</c:f>
              <c:strCache>
                <c:ptCount val="23"/>
                <c:pt idx="0">
                  <c:v>Polska</c:v>
                </c:pt>
                <c:pt idx="1">
                  <c:v>woj. wielkopolskie</c:v>
                </c:pt>
                <c:pt idx="2">
                  <c:v>Skoki</c:v>
                </c:pt>
                <c:pt idx="3">
                  <c:v>Szamotuły</c:v>
                </c:pt>
                <c:pt idx="4">
                  <c:v>Oborniki</c:v>
                </c:pt>
                <c:pt idx="5">
                  <c:v>Śrem</c:v>
                </c:pt>
                <c:pt idx="6">
                  <c:v>Murowana Goślina</c:v>
                </c:pt>
                <c:pt idx="7">
                  <c:v>Mosina</c:v>
                </c:pt>
                <c:pt idx="8">
                  <c:v>Pobiedziska</c:v>
                </c:pt>
                <c:pt idx="9">
                  <c:v>Kostrzyn</c:v>
                </c:pt>
                <c:pt idx="10">
                  <c:v>Luboń</c:v>
                </c:pt>
                <c:pt idx="11">
                  <c:v>Stęszew</c:v>
                </c:pt>
                <c:pt idx="12">
                  <c:v>Puszczykowo</c:v>
                </c:pt>
                <c:pt idx="13">
                  <c:v>Buk</c:v>
                </c:pt>
                <c:pt idx="14">
                  <c:v>Kleszczewo</c:v>
                </c:pt>
                <c:pt idx="15">
                  <c:v>Swarzędz</c:v>
                </c:pt>
                <c:pt idx="16">
                  <c:v>Dopiewo</c:v>
                </c:pt>
                <c:pt idx="17">
                  <c:v>Czerwonak</c:v>
                </c:pt>
                <c:pt idx="18">
                  <c:v>Suchy Las</c:v>
                </c:pt>
                <c:pt idx="19">
                  <c:v>Tarnowo Podgórne</c:v>
                </c:pt>
                <c:pt idx="20">
                  <c:v>Komorniki</c:v>
                </c:pt>
                <c:pt idx="21">
                  <c:v>Kórnik</c:v>
                </c:pt>
                <c:pt idx="22">
                  <c:v>Rokietnica</c:v>
                </c:pt>
              </c:strCache>
            </c:strRef>
          </c:cat>
          <c:val>
            <c:numRef>
              <c:f>Arkusz3!$C$5:$C$27</c:f>
              <c:numCache>
                <c:formatCode>0.0</c:formatCode>
                <c:ptCount val="23"/>
                <c:pt idx="0">
                  <c:v>7.3</c:v>
                </c:pt>
                <c:pt idx="1">
                  <c:v>5.0999999999999996</c:v>
                </c:pt>
                <c:pt idx="2">
                  <c:v>7.9</c:v>
                </c:pt>
                <c:pt idx="3">
                  <c:v>6.4</c:v>
                </c:pt>
                <c:pt idx="4">
                  <c:v>4.3</c:v>
                </c:pt>
                <c:pt idx="5">
                  <c:v>4.3</c:v>
                </c:pt>
                <c:pt idx="6">
                  <c:v>2.1</c:v>
                </c:pt>
                <c:pt idx="7">
                  <c:v>2.1</c:v>
                </c:pt>
                <c:pt idx="8">
                  <c:v>2.5</c:v>
                </c:pt>
                <c:pt idx="9">
                  <c:v>2.2000000000000002</c:v>
                </c:pt>
                <c:pt idx="10">
                  <c:v>2.4</c:v>
                </c:pt>
                <c:pt idx="11">
                  <c:v>2.2999999999999998</c:v>
                </c:pt>
                <c:pt idx="12">
                  <c:v>2.2999999999999998</c:v>
                </c:pt>
                <c:pt idx="13">
                  <c:v>1.9000000000000001</c:v>
                </c:pt>
                <c:pt idx="14">
                  <c:v>2.2000000000000002</c:v>
                </c:pt>
                <c:pt idx="15">
                  <c:v>1.8</c:v>
                </c:pt>
                <c:pt idx="16">
                  <c:v>2.1</c:v>
                </c:pt>
                <c:pt idx="17">
                  <c:v>1.6</c:v>
                </c:pt>
                <c:pt idx="18">
                  <c:v>1.6</c:v>
                </c:pt>
                <c:pt idx="19">
                  <c:v>1.8</c:v>
                </c:pt>
                <c:pt idx="20">
                  <c:v>1.5</c:v>
                </c:pt>
                <c:pt idx="21">
                  <c:v>1.8</c:v>
                </c:pt>
                <c:pt idx="22">
                  <c:v>1.7</c:v>
                </c:pt>
              </c:numCache>
            </c:numRef>
          </c:val>
        </c:ser>
        <c:ser>
          <c:idx val="2"/>
          <c:order val="2"/>
          <c:tx>
            <c:strRef>
              <c:f>Arkusz3!$D$2</c:f>
              <c:strCache>
                <c:ptCount val="1"/>
                <c:pt idx="0">
                  <c:v>kobiety</c:v>
                </c:pt>
              </c:strCache>
            </c:strRef>
          </c:tx>
          <c:cat>
            <c:strRef>
              <c:f>Arkusz3!$B$5:$B$27</c:f>
              <c:strCache>
                <c:ptCount val="23"/>
                <c:pt idx="0">
                  <c:v>Polska</c:v>
                </c:pt>
                <c:pt idx="1">
                  <c:v>woj. wielkopolskie</c:v>
                </c:pt>
                <c:pt idx="2">
                  <c:v>Skoki</c:v>
                </c:pt>
                <c:pt idx="3">
                  <c:v>Szamotuły</c:v>
                </c:pt>
                <c:pt idx="4">
                  <c:v>Oborniki</c:v>
                </c:pt>
                <c:pt idx="5">
                  <c:v>Śrem</c:v>
                </c:pt>
                <c:pt idx="6">
                  <c:v>Murowana Goślina</c:v>
                </c:pt>
                <c:pt idx="7">
                  <c:v>Mosina</c:v>
                </c:pt>
                <c:pt idx="8">
                  <c:v>Pobiedziska</c:v>
                </c:pt>
                <c:pt idx="9">
                  <c:v>Kostrzyn</c:v>
                </c:pt>
                <c:pt idx="10">
                  <c:v>Luboń</c:v>
                </c:pt>
                <c:pt idx="11">
                  <c:v>Stęszew</c:v>
                </c:pt>
                <c:pt idx="12">
                  <c:v>Puszczykowo</c:v>
                </c:pt>
                <c:pt idx="13">
                  <c:v>Buk</c:v>
                </c:pt>
                <c:pt idx="14">
                  <c:v>Kleszczewo</c:v>
                </c:pt>
                <c:pt idx="15">
                  <c:v>Swarzędz</c:v>
                </c:pt>
                <c:pt idx="16">
                  <c:v>Dopiewo</c:v>
                </c:pt>
                <c:pt idx="17">
                  <c:v>Czerwonak</c:v>
                </c:pt>
                <c:pt idx="18">
                  <c:v>Suchy Las</c:v>
                </c:pt>
                <c:pt idx="19">
                  <c:v>Tarnowo Podgórne</c:v>
                </c:pt>
                <c:pt idx="20">
                  <c:v>Komorniki</c:v>
                </c:pt>
                <c:pt idx="21">
                  <c:v>Kórnik</c:v>
                </c:pt>
                <c:pt idx="22">
                  <c:v>Rokietnica</c:v>
                </c:pt>
              </c:strCache>
            </c:strRef>
          </c:cat>
          <c:val>
            <c:numRef>
              <c:f>Arkusz3!$D$5:$D$27</c:f>
              <c:numCache>
                <c:formatCode>0.0</c:formatCode>
                <c:ptCount val="23"/>
                <c:pt idx="0">
                  <c:v>8.6</c:v>
                </c:pt>
                <c:pt idx="1">
                  <c:v>7.1</c:v>
                </c:pt>
                <c:pt idx="2">
                  <c:v>11.4</c:v>
                </c:pt>
                <c:pt idx="3">
                  <c:v>9.2000000000000011</c:v>
                </c:pt>
                <c:pt idx="4">
                  <c:v>6.9</c:v>
                </c:pt>
                <c:pt idx="5">
                  <c:v>5.6</c:v>
                </c:pt>
                <c:pt idx="6">
                  <c:v>3.3</c:v>
                </c:pt>
                <c:pt idx="7">
                  <c:v>3.4</c:v>
                </c:pt>
                <c:pt idx="8">
                  <c:v>2.9</c:v>
                </c:pt>
                <c:pt idx="9">
                  <c:v>2.9</c:v>
                </c:pt>
                <c:pt idx="10">
                  <c:v>2.8</c:v>
                </c:pt>
                <c:pt idx="11">
                  <c:v>2.9</c:v>
                </c:pt>
                <c:pt idx="12">
                  <c:v>2.7</c:v>
                </c:pt>
                <c:pt idx="13">
                  <c:v>2.9</c:v>
                </c:pt>
                <c:pt idx="14">
                  <c:v>2.5</c:v>
                </c:pt>
                <c:pt idx="15">
                  <c:v>2.9</c:v>
                </c:pt>
                <c:pt idx="16">
                  <c:v>2.4</c:v>
                </c:pt>
                <c:pt idx="17">
                  <c:v>2.5</c:v>
                </c:pt>
                <c:pt idx="18">
                  <c:v>2.4</c:v>
                </c:pt>
                <c:pt idx="19">
                  <c:v>2.1</c:v>
                </c:pt>
                <c:pt idx="20">
                  <c:v>2.2999999999999998</c:v>
                </c:pt>
                <c:pt idx="21">
                  <c:v>2.1</c:v>
                </c:pt>
                <c:pt idx="22">
                  <c:v>2.2000000000000002</c:v>
                </c:pt>
              </c:numCache>
            </c:numRef>
          </c:val>
        </c:ser>
        <c:axId val="140361728"/>
        <c:axId val="140364032"/>
      </c:barChart>
      <c:catAx>
        <c:axId val="140361728"/>
        <c:scaling>
          <c:orientation val="minMax"/>
        </c:scaling>
        <c:axPos val="l"/>
        <c:numFmt formatCode="0.0" sourceLinked="1"/>
        <c:majorTickMark val="none"/>
        <c:tickLblPos val="nextTo"/>
        <c:txPr>
          <a:bodyPr/>
          <a:lstStyle/>
          <a:p>
            <a:pPr>
              <a:defRPr sz="800"/>
            </a:pPr>
            <a:endParaRPr lang="pl-PL"/>
          </a:p>
        </c:txPr>
        <c:crossAx val="140364032"/>
        <c:crosses val="autoZero"/>
        <c:auto val="1"/>
        <c:lblAlgn val="ctr"/>
        <c:lblOffset val="100"/>
      </c:catAx>
      <c:valAx>
        <c:axId val="140364032"/>
        <c:scaling>
          <c:orientation val="minMax"/>
        </c:scaling>
        <c:axPos val="b"/>
        <c:majorGridlines/>
        <c:numFmt formatCode="0.0" sourceLinked="1"/>
        <c:majorTickMark val="none"/>
        <c:tickLblPos val="nextTo"/>
        <c:txPr>
          <a:bodyPr/>
          <a:lstStyle/>
          <a:p>
            <a:pPr>
              <a:defRPr sz="800"/>
            </a:pPr>
            <a:endParaRPr lang="pl-PL"/>
          </a:p>
        </c:txPr>
        <c:crossAx val="140361728"/>
        <c:crosses val="autoZero"/>
        <c:crossBetween val="between"/>
      </c:valAx>
      <c:spPr>
        <a:solidFill>
          <a:sysClr val="window" lastClr="FFFFFF">
            <a:lumMod val="95000"/>
          </a:sysClr>
        </a:solidFill>
      </c:spPr>
    </c:plotArea>
    <c:legend>
      <c:legendPos val="b"/>
      <c:layout>
        <c:manualLayout>
          <c:xMode val="edge"/>
          <c:yMode val="edge"/>
          <c:x val="0.73538972590687268"/>
          <c:y val="0.11462669084475786"/>
          <c:w val="0.24054437589241351"/>
          <c:h val="0.21390928691318581"/>
        </c:manualLayout>
      </c:layout>
      <c:spPr>
        <a:solidFill>
          <a:schemeClr val="bg1">
            <a:lumMod val="95000"/>
          </a:schemeClr>
        </a:solidFill>
      </c:spPr>
      <c:txPr>
        <a:bodyPr/>
        <a:lstStyle/>
        <a:p>
          <a:pPr>
            <a:defRPr sz="900"/>
          </a:pPr>
          <a:endParaRPr lang="pl-PL"/>
        </a:p>
      </c:txPr>
    </c:legend>
    <c:plotVisOnly val="1"/>
  </c:chart>
  <c:spPr>
    <a:solidFill>
      <a:schemeClr val="bg1">
        <a:lumMod val="95000"/>
      </a:schemeClr>
    </a:solidFill>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900"/>
              <a:t>Średnie wyniki egzaminów gimnazjalnych</a:t>
            </a:r>
            <a:r>
              <a:rPr lang="pl-PL" sz="900" baseline="0"/>
              <a:t> w gminach aglomeracji poznańskiej w 2011 r.</a:t>
            </a:r>
            <a:endParaRPr lang="pl-PL" sz="900"/>
          </a:p>
        </c:rich>
      </c:tx>
      <c:layout>
        <c:manualLayout>
          <c:xMode val="edge"/>
          <c:yMode val="edge"/>
          <c:x val="0.15923263233824494"/>
          <c:y val="0"/>
        </c:manualLayout>
      </c:layout>
    </c:title>
    <c:plotArea>
      <c:layout>
        <c:manualLayout>
          <c:layoutTarget val="inner"/>
          <c:xMode val="edge"/>
          <c:yMode val="edge"/>
          <c:x val="0.22563011869916622"/>
          <c:y val="6.9932429814905037E-2"/>
          <c:w val="0.53701257180880957"/>
          <c:h val="0.86363955279195115"/>
        </c:manualLayout>
      </c:layout>
      <c:barChart>
        <c:barDir val="bar"/>
        <c:grouping val="clustered"/>
        <c:ser>
          <c:idx val="0"/>
          <c:order val="0"/>
          <c:tx>
            <c:strRef>
              <c:f>aglomeracja!$B$170</c:f>
              <c:strCache>
                <c:ptCount val="1"/>
                <c:pt idx="0">
                  <c:v>część humanistyczna</c:v>
                </c:pt>
              </c:strCache>
            </c:strRef>
          </c:tx>
          <c:cat>
            <c:strRef>
              <c:f>aglomeracja!$A$171:$A$191</c:f>
              <c:strCache>
                <c:ptCount val="21"/>
                <c:pt idx="0">
                  <c:v>Luboń</c:v>
                </c:pt>
                <c:pt idx="1">
                  <c:v>Komorniki</c:v>
                </c:pt>
                <c:pt idx="2">
                  <c:v>Swarzędz</c:v>
                </c:pt>
                <c:pt idx="3">
                  <c:v>Suchy Las</c:v>
                </c:pt>
                <c:pt idx="4">
                  <c:v>Rokietnica</c:v>
                </c:pt>
                <c:pt idx="5">
                  <c:v>Dopiewo</c:v>
                </c:pt>
                <c:pt idx="6">
                  <c:v>Czerwonak</c:v>
                </c:pt>
                <c:pt idx="7">
                  <c:v>Puszczykowo</c:v>
                </c:pt>
                <c:pt idx="8">
                  <c:v>Szamotuły</c:v>
                </c:pt>
                <c:pt idx="9">
                  <c:v>Kórnik</c:v>
                </c:pt>
                <c:pt idx="10">
                  <c:v>Oborniki</c:v>
                </c:pt>
                <c:pt idx="11">
                  <c:v>Śrem</c:v>
                </c:pt>
                <c:pt idx="12">
                  <c:v>Pobiedziska</c:v>
                </c:pt>
                <c:pt idx="13">
                  <c:v>Tarnowo Podgórne</c:v>
                </c:pt>
                <c:pt idx="14">
                  <c:v>Murowana Goślina</c:v>
                </c:pt>
                <c:pt idx="15">
                  <c:v>Kleszczewo</c:v>
                </c:pt>
                <c:pt idx="16">
                  <c:v>Skoki</c:v>
                </c:pt>
                <c:pt idx="17">
                  <c:v>Kostrzyn</c:v>
                </c:pt>
                <c:pt idx="18">
                  <c:v>Mosina</c:v>
                </c:pt>
                <c:pt idx="19">
                  <c:v>Stęszew</c:v>
                </c:pt>
                <c:pt idx="20">
                  <c:v>Buk</c:v>
                </c:pt>
              </c:strCache>
            </c:strRef>
          </c:cat>
          <c:val>
            <c:numRef>
              <c:f>aglomeracja!$B$171:$B$191</c:f>
              <c:numCache>
                <c:formatCode>0</c:formatCode>
                <c:ptCount val="21"/>
                <c:pt idx="0">
                  <c:v>24.43</c:v>
                </c:pt>
                <c:pt idx="1">
                  <c:v>22.959999999999987</c:v>
                </c:pt>
                <c:pt idx="2">
                  <c:v>24.64</c:v>
                </c:pt>
                <c:pt idx="3" formatCode="General">
                  <c:v>28.62</c:v>
                </c:pt>
                <c:pt idx="4" formatCode="General">
                  <c:v>23.2</c:v>
                </c:pt>
                <c:pt idx="5" formatCode="General">
                  <c:v>24.82</c:v>
                </c:pt>
                <c:pt idx="6" formatCode="General">
                  <c:v>24.53</c:v>
                </c:pt>
                <c:pt idx="7" formatCode="General">
                  <c:v>25.95</c:v>
                </c:pt>
                <c:pt idx="8" formatCode="General">
                  <c:v>24.459999999999987</c:v>
                </c:pt>
                <c:pt idx="9" formatCode="General">
                  <c:v>23.95</c:v>
                </c:pt>
                <c:pt idx="10" formatCode="General">
                  <c:v>21.650000000000031</c:v>
                </c:pt>
                <c:pt idx="11" formatCode="General">
                  <c:v>20.91</c:v>
                </c:pt>
                <c:pt idx="12" formatCode="General">
                  <c:v>22.27</c:v>
                </c:pt>
                <c:pt idx="13" formatCode="General">
                  <c:v>24.84</c:v>
                </c:pt>
                <c:pt idx="14" formatCode="General">
                  <c:v>24.23</c:v>
                </c:pt>
                <c:pt idx="15" formatCode="General">
                  <c:v>24.66</c:v>
                </c:pt>
                <c:pt idx="16" formatCode="General">
                  <c:v>22.459999999999987</c:v>
                </c:pt>
                <c:pt idx="17" formatCode="General">
                  <c:v>24.610000000000031</c:v>
                </c:pt>
                <c:pt idx="18" formatCode="General">
                  <c:v>24.09</c:v>
                </c:pt>
                <c:pt idx="19" formatCode="General">
                  <c:v>22.21</c:v>
                </c:pt>
                <c:pt idx="20" formatCode="General">
                  <c:v>23.03</c:v>
                </c:pt>
              </c:numCache>
            </c:numRef>
          </c:val>
        </c:ser>
        <c:ser>
          <c:idx val="1"/>
          <c:order val="1"/>
          <c:tx>
            <c:strRef>
              <c:f>aglomeracja!$C$170</c:f>
              <c:strCache>
                <c:ptCount val="1"/>
                <c:pt idx="0">
                  <c:v>część matematyczno-przyrodnicza</c:v>
                </c:pt>
              </c:strCache>
            </c:strRef>
          </c:tx>
          <c:cat>
            <c:strRef>
              <c:f>aglomeracja!$A$171:$A$191</c:f>
              <c:strCache>
                <c:ptCount val="21"/>
                <c:pt idx="0">
                  <c:v>Luboń</c:v>
                </c:pt>
                <c:pt idx="1">
                  <c:v>Komorniki</c:v>
                </c:pt>
                <c:pt idx="2">
                  <c:v>Swarzędz</c:v>
                </c:pt>
                <c:pt idx="3">
                  <c:v>Suchy Las</c:v>
                </c:pt>
                <c:pt idx="4">
                  <c:v>Rokietnica</c:v>
                </c:pt>
                <c:pt idx="5">
                  <c:v>Dopiewo</c:v>
                </c:pt>
                <c:pt idx="6">
                  <c:v>Czerwonak</c:v>
                </c:pt>
                <c:pt idx="7">
                  <c:v>Puszczykowo</c:v>
                </c:pt>
                <c:pt idx="8">
                  <c:v>Szamotuły</c:v>
                </c:pt>
                <c:pt idx="9">
                  <c:v>Kórnik</c:v>
                </c:pt>
                <c:pt idx="10">
                  <c:v>Oborniki</c:v>
                </c:pt>
                <c:pt idx="11">
                  <c:v>Śrem</c:v>
                </c:pt>
                <c:pt idx="12">
                  <c:v>Pobiedziska</c:v>
                </c:pt>
                <c:pt idx="13">
                  <c:v>Tarnowo Podgórne</c:v>
                </c:pt>
                <c:pt idx="14">
                  <c:v>Murowana Goślina</c:v>
                </c:pt>
                <c:pt idx="15">
                  <c:v>Kleszczewo</c:v>
                </c:pt>
                <c:pt idx="16">
                  <c:v>Skoki</c:v>
                </c:pt>
                <c:pt idx="17">
                  <c:v>Kostrzyn</c:v>
                </c:pt>
                <c:pt idx="18">
                  <c:v>Mosina</c:v>
                </c:pt>
                <c:pt idx="19">
                  <c:v>Stęszew</c:v>
                </c:pt>
                <c:pt idx="20">
                  <c:v>Buk</c:v>
                </c:pt>
              </c:strCache>
            </c:strRef>
          </c:cat>
          <c:val>
            <c:numRef>
              <c:f>aglomeracja!$C$171:$C$191</c:f>
              <c:numCache>
                <c:formatCode>0</c:formatCode>
                <c:ptCount val="21"/>
                <c:pt idx="0">
                  <c:v>23.979999999999986</c:v>
                </c:pt>
                <c:pt idx="1">
                  <c:v>23.99</c:v>
                </c:pt>
                <c:pt idx="2">
                  <c:v>23.43</c:v>
                </c:pt>
                <c:pt idx="3" formatCode="General">
                  <c:v>28.54</c:v>
                </c:pt>
                <c:pt idx="4" formatCode="General">
                  <c:v>20.38</c:v>
                </c:pt>
                <c:pt idx="5" formatCode="General">
                  <c:v>24.38</c:v>
                </c:pt>
                <c:pt idx="6" formatCode="General">
                  <c:v>24.53</c:v>
                </c:pt>
                <c:pt idx="7" formatCode="General">
                  <c:v>27.09</c:v>
                </c:pt>
                <c:pt idx="8" formatCode="General">
                  <c:v>23.110000000000031</c:v>
                </c:pt>
                <c:pt idx="9" formatCode="General">
                  <c:v>21.64</c:v>
                </c:pt>
                <c:pt idx="10" formatCode="General">
                  <c:v>21.67</c:v>
                </c:pt>
                <c:pt idx="11" formatCode="General">
                  <c:v>21.29</c:v>
                </c:pt>
                <c:pt idx="12" formatCode="General">
                  <c:v>22.51</c:v>
                </c:pt>
                <c:pt idx="13" formatCode="General">
                  <c:v>24.59</c:v>
                </c:pt>
                <c:pt idx="14" formatCode="General">
                  <c:v>24.12</c:v>
                </c:pt>
                <c:pt idx="15" formatCode="General">
                  <c:v>24.279999999999987</c:v>
                </c:pt>
                <c:pt idx="16" formatCode="General">
                  <c:v>20.2</c:v>
                </c:pt>
                <c:pt idx="17" formatCode="General">
                  <c:v>23.17</c:v>
                </c:pt>
                <c:pt idx="18" formatCode="General">
                  <c:v>24.23</c:v>
                </c:pt>
                <c:pt idx="19" formatCode="General">
                  <c:v>22.04</c:v>
                </c:pt>
                <c:pt idx="20" formatCode="General">
                  <c:v>24.259999999999987</c:v>
                </c:pt>
              </c:numCache>
            </c:numRef>
          </c:val>
        </c:ser>
        <c:ser>
          <c:idx val="2"/>
          <c:order val="2"/>
          <c:tx>
            <c:strRef>
              <c:f>aglomeracja!$D$170</c:f>
              <c:strCache>
                <c:ptCount val="1"/>
                <c:pt idx="0">
                  <c:v>język angielski</c:v>
                </c:pt>
              </c:strCache>
            </c:strRef>
          </c:tx>
          <c:cat>
            <c:strRef>
              <c:f>aglomeracja!$A$171:$A$191</c:f>
              <c:strCache>
                <c:ptCount val="21"/>
                <c:pt idx="0">
                  <c:v>Luboń</c:v>
                </c:pt>
                <c:pt idx="1">
                  <c:v>Komorniki</c:v>
                </c:pt>
                <c:pt idx="2">
                  <c:v>Swarzędz</c:v>
                </c:pt>
                <c:pt idx="3">
                  <c:v>Suchy Las</c:v>
                </c:pt>
                <c:pt idx="4">
                  <c:v>Rokietnica</c:v>
                </c:pt>
                <c:pt idx="5">
                  <c:v>Dopiewo</c:v>
                </c:pt>
                <c:pt idx="6">
                  <c:v>Czerwonak</c:v>
                </c:pt>
                <c:pt idx="7">
                  <c:v>Puszczykowo</c:v>
                </c:pt>
                <c:pt idx="8">
                  <c:v>Szamotuły</c:v>
                </c:pt>
                <c:pt idx="9">
                  <c:v>Kórnik</c:v>
                </c:pt>
                <c:pt idx="10">
                  <c:v>Oborniki</c:v>
                </c:pt>
                <c:pt idx="11">
                  <c:v>Śrem</c:v>
                </c:pt>
                <c:pt idx="12">
                  <c:v>Pobiedziska</c:v>
                </c:pt>
                <c:pt idx="13">
                  <c:v>Tarnowo Podgórne</c:v>
                </c:pt>
                <c:pt idx="14">
                  <c:v>Murowana Goślina</c:v>
                </c:pt>
                <c:pt idx="15">
                  <c:v>Kleszczewo</c:v>
                </c:pt>
                <c:pt idx="16">
                  <c:v>Skoki</c:v>
                </c:pt>
                <c:pt idx="17">
                  <c:v>Kostrzyn</c:v>
                </c:pt>
                <c:pt idx="18">
                  <c:v>Mosina</c:v>
                </c:pt>
                <c:pt idx="19">
                  <c:v>Stęszew</c:v>
                </c:pt>
                <c:pt idx="20">
                  <c:v>Buk</c:v>
                </c:pt>
              </c:strCache>
            </c:strRef>
          </c:cat>
          <c:val>
            <c:numRef>
              <c:f>aglomeracja!$D$171:$D$191</c:f>
              <c:numCache>
                <c:formatCode>General</c:formatCode>
                <c:ptCount val="21"/>
                <c:pt idx="0">
                  <c:v>32.03</c:v>
                </c:pt>
                <c:pt idx="1">
                  <c:v>25.88</c:v>
                </c:pt>
                <c:pt idx="2">
                  <c:v>30.58</c:v>
                </c:pt>
                <c:pt idx="3">
                  <c:v>35.71</c:v>
                </c:pt>
                <c:pt idx="4">
                  <c:v>22.830000000000005</c:v>
                </c:pt>
                <c:pt idx="5">
                  <c:v>30.1</c:v>
                </c:pt>
                <c:pt idx="6">
                  <c:v>27.86</c:v>
                </c:pt>
                <c:pt idx="7">
                  <c:v>31.45</c:v>
                </c:pt>
                <c:pt idx="8">
                  <c:v>36.86</c:v>
                </c:pt>
                <c:pt idx="9">
                  <c:v>24.86</c:v>
                </c:pt>
                <c:pt idx="10">
                  <c:v>27.4</c:v>
                </c:pt>
                <c:pt idx="11">
                  <c:v>26.75</c:v>
                </c:pt>
                <c:pt idx="12">
                  <c:v>26.75</c:v>
                </c:pt>
                <c:pt idx="13">
                  <c:v>30.89</c:v>
                </c:pt>
                <c:pt idx="14">
                  <c:v>28.89</c:v>
                </c:pt>
                <c:pt idx="15">
                  <c:v>24.84</c:v>
                </c:pt>
                <c:pt idx="16">
                  <c:v>27.130000000000031</c:v>
                </c:pt>
                <c:pt idx="17">
                  <c:v>30.810000000000031</c:v>
                </c:pt>
                <c:pt idx="18">
                  <c:v>28.8</c:v>
                </c:pt>
                <c:pt idx="19">
                  <c:v>25.959999999999987</c:v>
                </c:pt>
                <c:pt idx="20">
                  <c:v>24.310000000000031</c:v>
                </c:pt>
              </c:numCache>
            </c:numRef>
          </c:val>
        </c:ser>
        <c:ser>
          <c:idx val="3"/>
          <c:order val="3"/>
          <c:spPr>
            <a:noFill/>
          </c:spPr>
          <c:trendline>
            <c:name>Wielkopolska część humanistyczna</c:name>
            <c:spPr>
              <a:ln w="25400">
                <a:solidFill>
                  <a:srgbClr val="0070C0"/>
                </a:solidFill>
              </a:ln>
            </c:spPr>
            <c:trendlineType val="linear"/>
          </c:trendline>
          <c:cat>
            <c:strRef>
              <c:f>aglomeracja!$A$171:$A$191</c:f>
              <c:strCache>
                <c:ptCount val="21"/>
                <c:pt idx="0">
                  <c:v>Luboń</c:v>
                </c:pt>
                <c:pt idx="1">
                  <c:v>Komorniki</c:v>
                </c:pt>
                <c:pt idx="2">
                  <c:v>Swarzędz</c:v>
                </c:pt>
                <c:pt idx="3">
                  <c:v>Suchy Las</c:v>
                </c:pt>
                <c:pt idx="4">
                  <c:v>Rokietnica</c:v>
                </c:pt>
                <c:pt idx="5">
                  <c:v>Dopiewo</c:v>
                </c:pt>
                <c:pt idx="6">
                  <c:v>Czerwonak</c:v>
                </c:pt>
                <c:pt idx="7">
                  <c:v>Puszczykowo</c:v>
                </c:pt>
                <c:pt idx="8">
                  <c:v>Szamotuły</c:v>
                </c:pt>
                <c:pt idx="9">
                  <c:v>Kórnik</c:v>
                </c:pt>
                <c:pt idx="10">
                  <c:v>Oborniki</c:v>
                </c:pt>
                <c:pt idx="11">
                  <c:v>Śrem</c:v>
                </c:pt>
                <c:pt idx="12">
                  <c:v>Pobiedziska</c:v>
                </c:pt>
                <c:pt idx="13">
                  <c:v>Tarnowo Podgórne</c:v>
                </c:pt>
                <c:pt idx="14">
                  <c:v>Murowana Goślina</c:v>
                </c:pt>
                <c:pt idx="15">
                  <c:v>Kleszczewo</c:v>
                </c:pt>
                <c:pt idx="16">
                  <c:v>Skoki</c:v>
                </c:pt>
                <c:pt idx="17">
                  <c:v>Kostrzyn</c:v>
                </c:pt>
                <c:pt idx="18">
                  <c:v>Mosina</c:v>
                </c:pt>
                <c:pt idx="19">
                  <c:v>Stęszew</c:v>
                </c:pt>
                <c:pt idx="20">
                  <c:v>Buk</c:v>
                </c:pt>
              </c:strCache>
            </c:strRef>
          </c:cat>
          <c:val>
            <c:numRef>
              <c:f>aglomeracja!$E$171:$E$191</c:f>
              <c:numCache>
                <c:formatCode>General</c:formatCode>
                <c:ptCount val="21"/>
                <c:pt idx="0">
                  <c:v>23.69</c:v>
                </c:pt>
                <c:pt idx="1">
                  <c:v>23.69</c:v>
                </c:pt>
                <c:pt idx="2">
                  <c:v>23.69</c:v>
                </c:pt>
                <c:pt idx="3">
                  <c:v>23.69</c:v>
                </c:pt>
                <c:pt idx="4">
                  <c:v>23.69</c:v>
                </c:pt>
                <c:pt idx="5">
                  <c:v>23.69</c:v>
                </c:pt>
                <c:pt idx="6">
                  <c:v>23.69</c:v>
                </c:pt>
                <c:pt idx="7">
                  <c:v>23.69</c:v>
                </c:pt>
                <c:pt idx="8">
                  <c:v>23.69</c:v>
                </c:pt>
                <c:pt idx="9">
                  <c:v>23.69</c:v>
                </c:pt>
                <c:pt idx="10">
                  <c:v>23.69</c:v>
                </c:pt>
                <c:pt idx="11">
                  <c:v>23.69</c:v>
                </c:pt>
                <c:pt idx="12">
                  <c:v>23.69</c:v>
                </c:pt>
                <c:pt idx="13">
                  <c:v>23.69</c:v>
                </c:pt>
                <c:pt idx="14">
                  <c:v>23.69</c:v>
                </c:pt>
                <c:pt idx="15">
                  <c:v>23.69</c:v>
                </c:pt>
                <c:pt idx="16">
                  <c:v>23.69</c:v>
                </c:pt>
                <c:pt idx="17">
                  <c:v>23.69</c:v>
                </c:pt>
                <c:pt idx="18">
                  <c:v>23.69</c:v>
                </c:pt>
                <c:pt idx="19">
                  <c:v>23.69</c:v>
                </c:pt>
                <c:pt idx="20">
                  <c:v>23.69</c:v>
                </c:pt>
              </c:numCache>
            </c:numRef>
          </c:val>
        </c:ser>
        <c:ser>
          <c:idx val="4"/>
          <c:order val="4"/>
          <c:spPr>
            <a:noFill/>
          </c:spPr>
          <c:trendline>
            <c:name>Wielkopolska część matematyczna</c:name>
            <c:spPr>
              <a:ln w="25400">
                <a:solidFill>
                  <a:srgbClr val="C00000"/>
                </a:solidFill>
              </a:ln>
            </c:spPr>
            <c:trendlineType val="linear"/>
          </c:trendline>
          <c:cat>
            <c:strRef>
              <c:f>aglomeracja!$A$171:$A$191</c:f>
              <c:strCache>
                <c:ptCount val="21"/>
                <c:pt idx="0">
                  <c:v>Luboń</c:v>
                </c:pt>
                <c:pt idx="1">
                  <c:v>Komorniki</c:v>
                </c:pt>
                <c:pt idx="2">
                  <c:v>Swarzędz</c:v>
                </c:pt>
                <c:pt idx="3">
                  <c:v>Suchy Las</c:v>
                </c:pt>
                <c:pt idx="4">
                  <c:v>Rokietnica</c:v>
                </c:pt>
                <c:pt idx="5">
                  <c:v>Dopiewo</c:v>
                </c:pt>
                <c:pt idx="6">
                  <c:v>Czerwonak</c:v>
                </c:pt>
                <c:pt idx="7">
                  <c:v>Puszczykowo</c:v>
                </c:pt>
                <c:pt idx="8">
                  <c:v>Szamotuły</c:v>
                </c:pt>
                <c:pt idx="9">
                  <c:v>Kórnik</c:v>
                </c:pt>
                <c:pt idx="10">
                  <c:v>Oborniki</c:v>
                </c:pt>
                <c:pt idx="11">
                  <c:v>Śrem</c:v>
                </c:pt>
                <c:pt idx="12">
                  <c:v>Pobiedziska</c:v>
                </c:pt>
                <c:pt idx="13">
                  <c:v>Tarnowo Podgórne</c:v>
                </c:pt>
                <c:pt idx="14">
                  <c:v>Murowana Goślina</c:v>
                </c:pt>
                <c:pt idx="15">
                  <c:v>Kleszczewo</c:v>
                </c:pt>
                <c:pt idx="16">
                  <c:v>Skoki</c:v>
                </c:pt>
                <c:pt idx="17">
                  <c:v>Kostrzyn</c:v>
                </c:pt>
                <c:pt idx="18">
                  <c:v>Mosina</c:v>
                </c:pt>
                <c:pt idx="19">
                  <c:v>Stęszew</c:v>
                </c:pt>
                <c:pt idx="20">
                  <c:v>Buk</c:v>
                </c:pt>
              </c:strCache>
            </c:strRef>
          </c:cat>
          <c:val>
            <c:numRef>
              <c:f>aglomeracja!$F$171:$F$191</c:f>
              <c:numCache>
                <c:formatCode>General</c:formatCode>
                <c:ptCount val="21"/>
                <c:pt idx="0">
                  <c:v>23.38</c:v>
                </c:pt>
                <c:pt idx="1">
                  <c:v>23.38</c:v>
                </c:pt>
                <c:pt idx="2">
                  <c:v>23.38</c:v>
                </c:pt>
                <c:pt idx="3">
                  <c:v>23.38</c:v>
                </c:pt>
                <c:pt idx="4">
                  <c:v>23.38</c:v>
                </c:pt>
                <c:pt idx="5">
                  <c:v>23.38</c:v>
                </c:pt>
                <c:pt idx="6">
                  <c:v>23.38</c:v>
                </c:pt>
                <c:pt idx="7">
                  <c:v>23.38</c:v>
                </c:pt>
                <c:pt idx="8">
                  <c:v>23.38</c:v>
                </c:pt>
                <c:pt idx="9">
                  <c:v>23.38</c:v>
                </c:pt>
                <c:pt idx="10">
                  <c:v>23.38</c:v>
                </c:pt>
                <c:pt idx="11">
                  <c:v>23.38</c:v>
                </c:pt>
                <c:pt idx="12">
                  <c:v>23.38</c:v>
                </c:pt>
                <c:pt idx="13">
                  <c:v>23.38</c:v>
                </c:pt>
                <c:pt idx="14">
                  <c:v>23.38</c:v>
                </c:pt>
                <c:pt idx="15">
                  <c:v>23.38</c:v>
                </c:pt>
                <c:pt idx="16">
                  <c:v>23.38</c:v>
                </c:pt>
                <c:pt idx="17">
                  <c:v>23.38</c:v>
                </c:pt>
                <c:pt idx="18">
                  <c:v>23.38</c:v>
                </c:pt>
                <c:pt idx="19">
                  <c:v>23.38</c:v>
                </c:pt>
                <c:pt idx="20">
                  <c:v>23.38</c:v>
                </c:pt>
              </c:numCache>
            </c:numRef>
          </c:val>
        </c:ser>
        <c:ser>
          <c:idx val="5"/>
          <c:order val="5"/>
          <c:spPr>
            <a:noFill/>
          </c:spPr>
          <c:trendline>
            <c:name>Wielkopolska język angielski</c:name>
            <c:spPr>
              <a:ln w="25400">
                <a:solidFill>
                  <a:srgbClr val="92D050"/>
                </a:solidFill>
              </a:ln>
            </c:spPr>
            <c:trendlineType val="linear"/>
          </c:trendline>
          <c:cat>
            <c:strRef>
              <c:f>aglomeracja!$A$171:$A$191</c:f>
              <c:strCache>
                <c:ptCount val="21"/>
                <c:pt idx="0">
                  <c:v>Luboń</c:v>
                </c:pt>
                <c:pt idx="1">
                  <c:v>Komorniki</c:v>
                </c:pt>
                <c:pt idx="2">
                  <c:v>Swarzędz</c:v>
                </c:pt>
                <c:pt idx="3">
                  <c:v>Suchy Las</c:v>
                </c:pt>
                <c:pt idx="4">
                  <c:v>Rokietnica</c:v>
                </c:pt>
                <c:pt idx="5">
                  <c:v>Dopiewo</c:v>
                </c:pt>
                <c:pt idx="6">
                  <c:v>Czerwonak</c:v>
                </c:pt>
                <c:pt idx="7">
                  <c:v>Puszczykowo</c:v>
                </c:pt>
                <c:pt idx="8">
                  <c:v>Szamotuły</c:v>
                </c:pt>
                <c:pt idx="9">
                  <c:v>Kórnik</c:v>
                </c:pt>
                <c:pt idx="10">
                  <c:v>Oborniki</c:v>
                </c:pt>
                <c:pt idx="11">
                  <c:v>Śrem</c:v>
                </c:pt>
                <c:pt idx="12">
                  <c:v>Pobiedziska</c:v>
                </c:pt>
                <c:pt idx="13">
                  <c:v>Tarnowo Podgórne</c:v>
                </c:pt>
                <c:pt idx="14">
                  <c:v>Murowana Goślina</c:v>
                </c:pt>
                <c:pt idx="15">
                  <c:v>Kleszczewo</c:v>
                </c:pt>
                <c:pt idx="16">
                  <c:v>Skoki</c:v>
                </c:pt>
                <c:pt idx="17">
                  <c:v>Kostrzyn</c:v>
                </c:pt>
                <c:pt idx="18">
                  <c:v>Mosina</c:v>
                </c:pt>
                <c:pt idx="19">
                  <c:v>Stęszew</c:v>
                </c:pt>
                <c:pt idx="20">
                  <c:v>Buk</c:v>
                </c:pt>
              </c:strCache>
            </c:strRef>
          </c:cat>
          <c:val>
            <c:numRef>
              <c:f>aglomeracja!$G$171:$G$191</c:f>
              <c:numCache>
                <c:formatCode>General</c:formatCode>
                <c:ptCount val="21"/>
                <c:pt idx="0">
                  <c:v>28.08</c:v>
                </c:pt>
                <c:pt idx="1">
                  <c:v>28.08</c:v>
                </c:pt>
                <c:pt idx="2">
                  <c:v>28.08</c:v>
                </c:pt>
                <c:pt idx="3">
                  <c:v>28.08</c:v>
                </c:pt>
                <c:pt idx="4">
                  <c:v>28.08</c:v>
                </c:pt>
                <c:pt idx="5">
                  <c:v>28.08</c:v>
                </c:pt>
                <c:pt idx="6">
                  <c:v>28.08</c:v>
                </c:pt>
                <c:pt idx="7">
                  <c:v>28.08</c:v>
                </c:pt>
                <c:pt idx="8">
                  <c:v>28.08</c:v>
                </c:pt>
                <c:pt idx="9">
                  <c:v>28.08</c:v>
                </c:pt>
                <c:pt idx="10">
                  <c:v>28.08</c:v>
                </c:pt>
                <c:pt idx="11">
                  <c:v>28.08</c:v>
                </c:pt>
                <c:pt idx="12">
                  <c:v>28.08</c:v>
                </c:pt>
                <c:pt idx="13">
                  <c:v>28.08</c:v>
                </c:pt>
                <c:pt idx="14">
                  <c:v>28.08</c:v>
                </c:pt>
                <c:pt idx="15">
                  <c:v>28.08</c:v>
                </c:pt>
                <c:pt idx="16">
                  <c:v>28.08</c:v>
                </c:pt>
                <c:pt idx="17">
                  <c:v>28.08</c:v>
                </c:pt>
                <c:pt idx="18">
                  <c:v>28.08</c:v>
                </c:pt>
                <c:pt idx="19">
                  <c:v>28.08</c:v>
                </c:pt>
                <c:pt idx="20">
                  <c:v>28.08</c:v>
                </c:pt>
              </c:numCache>
            </c:numRef>
          </c:val>
        </c:ser>
        <c:gapWidth val="0"/>
        <c:axId val="141099776"/>
        <c:axId val="141119872"/>
      </c:barChart>
      <c:catAx>
        <c:axId val="141099776"/>
        <c:scaling>
          <c:orientation val="minMax"/>
        </c:scaling>
        <c:axPos val="l"/>
        <c:tickLblPos val="nextTo"/>
        <c:txPr>
          <a:bodyPr/>
          <a:lstStyle/>
          <a:p>
            <a:pPr>
              <a:defRPr sz="800"/>
            </a:pPr>
            <a:endParaRPr lang="pl-PL"/>
          </a:p>
        </c:txPr>
        <c:crossAx val="141119872"/>
        <c:crosses val="autoZero"/>
        <c:auto val="1"/>
        <c:lblAlgn val="ctr"/>
        <c:lblOffset val="100"/>
      </c:catAx>
      <c:valAx>
        <c:axId val="141119872"/>
        <c:scaling>
          <c:orientation val="minMax"/>
        </c:scaling>
        <c:axPos val="b"/>
        <c:majorGridlines/>
        <c:title>
          <c:tx>
            <c:rich>
              <a:bodyPr/>
              <a:lstStyle/>
              <a:p>
                <a:pPr>
                  <a:defRPr/>
                </a:pPr>
                <a:r>
                  <a:rPr lang="pl-PL" sz="800" b="0"/>
                  <a:t>liczba punktów</a:t>
                </a:r>
              </a:p>
            </c:rich>
          </c:tx>
          <c:layout>
            <c:manualLayout>
              <c:xMode val="edge"/>
              <c:yMode val="edge"/>
              <c:x val="0.7819180192819728"/>
              <c:y val="0.96510954221179179"/>
            </c:manualLayout>
          </c:layout>
        </c:title>
        <c:numFmt formatCode="0" sourceLinked="1"/>
        <c:tickLblPos val="nextTo"/>
        <c:txPr>
          <a:bodyPr/>
          <a:lstStyle/>
          <a:p>
            <a:pPr>
              <a:defRPr sz="800"/>
            </a:pPr>
            <a:endParaRPr lang="pl-PL"/>
          </a:p>
        </c:txPr>
        <c:crossAx val="141099776"/>
        <c:crosses val="autoZero"/>
        <c:crossBetween val="between"/>
      </c:valAx>
      <c:spPr>
        <a:solidFill>
          <a:sysClr val="window" lastClr="FFFFFF">
            <a:lumMod val="95000"/>
          </a:sysClr>
        </a:solidFill>
      </c:spPr>
    </c:plotArea>
    <c:legend>
      <c:legendPos val="r"/>
      <c:legendEntry>
        <c:idx val="2"/>
        <c:delete val="1"/>
      </c:legendEntry>
      <c:legendEntry>
        <c:idx val="1"/>
        <c:delete val="1"/>
      </c:legendEntry>
      <c:legendEntry>
        <c:idx val="0"/>
        <c:delete val="1"/>
      </c:legendEntry>
      <c:layout>
        <c:manualLayout>
          <c:xMode val="edge"/>
          <c:yMode val="edge"/>
          <c:x val="0.69239637320055802"/>
          <c:y val="0.31697896019211219"/>
          <c:w val="0.29104428797342791"/>
          <c:h val="0.45970108594707731"/>
        </c:manualLayout>
      </c:layout>
      <c:spPr>
        <a:solidFill>
          <a:schemeClr val="bg1">
            <a:lumMod val="95000"/>
          </a:schemeClr>
        </a:solidFill>
      </c:spPr>
      <c:txPr>
        <a:bodyPr/>
        <a:lstStyle/>
        <a:p>
          <a:pPr>
            <a:defRPr sz="700"/>
          </a:pPr>
          <a:endParaRPr lang="pl-PL"/>
        </a:p>
      </c:txPr>
    </c:legend>
    <c:plotVisOnly val="1"/>
  </c:chart>
  <c:spPr>
    <a:solidFill>
      <a:sysClr val="window" lastClr="FFFFFF">
        <a:lumMod val="95000"/>
      </a:sysClr>
    </a:solidFill>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900"/>
              <a:t>Średnie</a:t>
            </a:r>
            <a:r>
              <a:rPr lang="pl-PL" sz="900" baseline="0"/>
              <a:t> wyniki egzaminów gimnazjalnych w wybranych gminach miejsko-wiejskich o porównywalnej wielkości w 2011 r.</a:t>
            </a:r>
            <a:endParaRPr lang="pl-PL" sz="900"/>
          </a:p>
        </c:rich>
      </c:tx>
      <c:layout>
        <c:manualLayout>
          <c:xMode val="edge"/>
          <c:yMode val="edge"/>
          <c:x val="0.11102590453660362"/>
          <c:y val="0"/>
        </c:manualLayout>
      </c:layout>
    </c:title>
    <c:plotArea>
      <c:layout>
        <c:manualLayout>
          <c:layoutTarget val="inner"/>
          <c:xMode val="edge"/>
          <c:yMode val="edge"/>
          <c:x val="0.32752073246465968"/>
          <c:y val="0.14333333333333631"/>
          <c:w val="0.6184955947872175"/>
          <c:h val="0.75089272068840984"/>
        </c:manualLayout>
      </c:layout>
      <c:barChart>
        <c:barDir val="bar"/>
        <c:grouping val="clustered"/>
        <c:ser>
          <c:idx val="0"/>
          <c:order val="0"/>
          <c:tx>
            <c:strRef>
              <c:f>'gm. 15-20 tys.'!$B$110</c:f>
              <c:strCache>
                <c:ptCount val="1"/>
                <c:pt idx="0">
                  <c:v>część humanistyczna</c:v>
                </c:pt>
              </c:strCache>
            </c:strRef>
          </c:tx>
          <c:cat>
            <c:strRef>
              <c:f>'gm. 15-20 tys.'!$A$112:$A$121</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tys.'!$B$112:$B$121</c:f>
              <c:numCache>
                <c:formatCode>General</c:formatCode>
                <c:ptCount val="10"/>
                <c:pt idx="0">
                  <c:v>21.4</c:v>
                </c:pt>
                <c:pt idx="1">
                  <c:v>22.37</c:v>
                </c:pt>
                <c:pt idx="2">
                  <c:v>23.41</c:v>
                </c:pt>
                <c:pt idx="3">
                  <c:v>23.630000000000031</c:v>
                </c:pt>
                <c:pt idx="4">
                  <c:v>23.27</c:v>
                </c:pt>
                <c:pt idx="5">
                  <c:v>21.18</c:v>
                </c:pt>
                <c:pt idx="6">
                  <c:v>24.610000000000031</c:v>
                </c:pt>
                <c:pt idx="7">
                  <c:v>24.23</c:v>
                </c:pt>
                <c:pt idx="8">
                  <c:v>22.27</c:v>
                </c:pt>
                <c:pt idx="9">
                  <c:v>23.64</c:v>
                </c:pt>
              </c:numCache>
            </c:numRef>
          </c:val>
        </c:ser>
        <c:ser>
          <c:idx val="1"/>
          <c:order val="1"/>
          <c:tx>
            <c:strRef>
              <c:f>'gm. 15-20 tys.'!$C$110</c:f>
              <c:strCache>
                <c:ptCount val="1"/>
                <c:pt idx="0">
                  <c:v>część matematyczno-przyrodnicza</c:v>
                </c:pt>
              </c:strCache>
            </c:strRef>
          </c:tx>
          <c:cat>
            <c:strRef>
              <c:f>'gm. 15-20 tys.'!$A$112:$A$121</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tys.'!$C$112:$C$121</c:f>
              <c:numCache>
                <c:formatCode>General</c:formatCode>
                <c:ptCount val="10"/>
                <c:pt idx="0">
                  <c:v>21.52</c:v>
                </c:pt>
                <c:pt idx="1">
                  <c:v>21.89</c:v>
                </c:pt>
                <c:pt idx="2">
                  <c:v>24.06</c:v>
                </c:pt>
                <c:pt idx="3">
                  <c:v>21.82</c:v>
                </c:pt>
                <c:pt idx="4">
                  <c:v>23.91</c:v>
                </c:pt>
                <c:pt idx="5">
                  <c:v>20.309999999999999</c:v>
                </c:pt>
                <c:pt idx="6">
                  <c:v>23.17</c:v>
                </c:pt>
                <c:pt idx="7">
                  <c:v>24.12</c:v>
                </c:pt>
                <c:pt idx="8">
                  <c:v>22.51</c:v>
                </c:pt>
                <c:pt idx="9">
                  <c:v>21.759999999999987</c:v>
                </c:pt>
              </c:numCache>
            </c:numRef>
          </c:val>
        </c:ser>
        <c:ser>
          <c:idx val="2"/>
          <c:order val="2"/>
          <c:tx>
            <c:strRef>
              <c:f>'gm. 15-20 tys.'!$D$110</c:f>
              <c:strCache>
                <c:ptCount val="1"/>
                <c:pt idx="0">
                  <c:v>język angielski</c:v>
                </c:pt>
              </c:strCache>
            </c:strRef>
          </c:tx>
          <c:cat>
            <c:strRef>
              <c:f>'gm. 15-20 tys.'!$A$112:$A$121</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tys.'!$D$112:$D$121</c:f>
              <c:numCache>
                <c:formatCode>General</c:formatCode>
                <c:ptCount val="10"/>
                <c:pt idx="0">
                  <c:v>22.6</c:v>
                </c:pt>
                <c:pt idx="1">
                  <c:v>23.43</c:v>
                </c:pt>
                <c:pt idx="2">
                  <c:v>26.77</c:v>
                </c:pt>
                <c:pt idx="3">
                  <c:v>23.35</c:v>
                </c:pt>
                <c:pt idx="4">
                  <c:v>27.43</c:v>
                </c:pt>
                <c:pt idx="5">
                  <c:v>26.57</c:v>
                </c:pt>
                <c:pt idx="6">
                  <c:v>30.810000000000031</c:v>
                </c:pt>
                <c:pt idx="7">
                  <c:v>28.89</c:v>
                </c:pt>
                <c:pt idx="8">
                  <c:v>26.75</c:v>
                </c:pt>
                <c:pt idx="9">
                  <c:v>25.93</c:v>
                </c:pt>
              </c:numCache>
            </c:numRef>
          </c:val>
        </c:ser>
        <c:ser>
          <c:idx val="3"/>
          <c:order val="3"/>
          <c:spPr>
            <a:noFill/>
          </c:spPr>
          <c:trendline>
            <c:name>Wielkopolska część humanistyczna</c:name>
            <c:spPr>
              <a:ln w="25400">
                <a:solidFill>
                  <a:srgbClr val="0070C0"/>
                </a:solidFill>
              </a:ln>
            </c:spPr>
            <c:trendlineType val="linear"/>
          </c:trendline>
          <c:cat>
            <c:strRef>
              <c:f>'gm. 15-20 tys.'!$A$112:$A$121</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tys.'!$E$112:$E$121</c:f>
              <c:numCache>
                <c:formatCode>General</c:formatCode>
                <c:ptCount val="10"/>
                <c:pt idx="0">
                  <c:v>23.69</c:v>
                </c:pt>
                <c:pt idx="1">
                  <c:v>23.69</c:v>
                </c:pt>
                <c:pt idx="2">
                  <c:v>23.69</c:v>
                </c:pt>
                <c:pt idx="3">
                  <c:v>23.69</c:v>
                </c:pt>
                <c:pt idx="4">
                  <c:v>23.69</c:v>
                </c:pt>
                <c:pt idx="5">
                  <c:v>23.69</c:v>
                </c:pt>
                <c:pt idx="6">
                  <c:v>23.69</c:v>
                </c:pt>
                <c:pt idx="7">
                  <c:v>23.69</c:v>
                </c:pt>
                <c:pt idx="8">
                  <c:v>23.69</c:v>
                </c:pt>
                <c:pt idx="9">
                  <c:v>23.69</c:v>
                </c:pt>
              </c:numCache>
            </c:numRef>
          </c:val>
        </c:ser>
        <c:ser>
          <c:idx val="4"/>
          <c:order val="4"/>
          <c:spPr>
            <a:noFill/>
          </c:spPr>
          <c:trendline>
            <c:name>Wielkopolska część matematyczno-przyrodnicza</c:name>
            <c:spPr>
              <a:ln w="25400">
                <a:solidFill>
                  <a:srgbClr val="C00000"/>
                </a:solidFill>
              </a:ln>
            </c:spPr>
            <c:trendlineType val="linear"/>
          </c:trendline>
          <c:cat>
            <c:strRef>
              <c:f>'gm. 15-20 tys.'!$A$112:$A$121</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tys.'!$F$112:$F$121</c:f>
              <c:numCache>
                <c:formatCode>General</c:formatCode>
                <c:ptCount val="10"/>
                <c:pt idx="0">
                  <c:v>23.38</c:v>
                </c:pt>
                <c:pt idx="1">
                  <c:v>23.38</c:v>
                </c:pt>
                <c:pt idx="2">
                  <c:v>23.38</c:v>
                </c:pt>
                <c:pt idx="3">
                  <c:v>23.38</c:v>
                </c:pt>
                <c:pt idx="4">
                  <c:v>23.38</c:v>
                </c:pt>
                <c:pt idx="5">
                  <c:v>23.38</c:v>
                </c:pt>
                <c:pt idx="6">
                  <c:v>23.38</c:v>
                </c:pt>
                <c:pt idx="7">
                  <c:v>23.38</c:v>
                </c:pt>
                <c:pt idx="8">
                  <c:v>23.38</c:v>
                </c:pt>
                <c:pt idx="9">
                  <c:v>23.38</c:v>
                </c:pt>
              </c:numCache>
            </c:numRef>
          </c:val>
        </c:ser>
        <c:ser>
          <c:idx val="5"/>
          <c:order val="5"/>
          <c:spPr>
            <a:noFill/>
          </c:spPr>
          <c:trendline>
            <c:name>Wielkopolska język angielski</c:name>
            <c:spPr>
              <a:ln w="25400">
                <a:solidFill>
                  <a:srgbClr val="92D050"/>
                </a:solidFill>
              </a:ln>
            </c:spPr>
            <c:trendlineType val="linear"/>
          </c:trendline>
          <c:cat>
            <c:strRef>
              <c:f>'gm. 15-20 tys.'!$A$112:$A$121</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tys.'!$G$112:$G$121</c:f>
              <c:numCache>
                <c:formatCode>General</c:formatCode>
                <c:ptCount val="10"/>
                <c:pt idx="0">
                  <c:v>28.08</c:v>
                </c:pt>
                <c:pt idx="1">
                  <c:v>28.08</c:v>
                </c:pt>
                <c:pt idx="2">
                  <c:v>28.08</c:v>
                </c:pt>
                <c:pt idx="3">
                  <c:v>28.08</c:v>
                </c:pt>
                <c:pt idx="4">
                  <c:v>28.08</c:v>
                </c:pt>
                <c:pt idx="5">
                  <c:v>28.08</c:v>
                </c:pt>
                <c:pt idx="6">
                  <c:v>28.08</c:v>
                </c:pt>
                <c:pt idx="7">
                  <c:v>28.08</c:v>
                </c:pt>
                <c:pt idx="8">
                  <c:v>28.08</c:v>
                </c:pt>
                <c:pt idx="9">
                  <c:v>28.08</c:v>
                </c:pt>
              </c:numCache>
            </c:numRef>
          </c:val>
        </c:ser>
        <c:gapWidth val="0"/>
        <c:axId val="141456512"/>
        <c:axId val="141458048"/>
      </c:barChart>
      <c:catAx>
        <c:axId val="141456512"/>
        <c:scaling>
          <c:orientation val="minMax"/>
        </c:scaling>
        <c:axPos val="l"/>
        <c:tickLblPos val="nextTo"/>
        <c:txPr>
          <a:bodyPr/>
          <a:lstStyle/>
          <a:p>
            <a:pPr>
              <a:defRPr sz="800"/>
            </a:pPr>
            <a:endParaRPr lang="pl-PL"/>
          </a:p>
        </c:txPr>
        <c:crossAx val="141458048"/>
        <c:crosses val="autoZero"/>
        <c:auto val="1"/>
        <c:lblAlgn val="ctr"/>
        <c:lblOffset val="100"/>
      </c:catAx>
      <c:valAx>
        <c:axId val="141458048"/>
        <c:scaling>
          <c:orientation val="minMax"/>
          <c:max val="35"/>
        </c:scaling>
        <c:axPos val="b"/>
        <c:majorGridlines/>
        <c:title>
          <c:tx>
            <c:rich>
              <a:bodyPr/>
              <a:lstStyle/>
              <a:p>
                <a:pPr>
                  <a:defRPr/>
                </a:pPr>
                <a:r>
                  <a:rPr lang="pl-PL" sz="800" b="0"/>
                  <a:t>liczba punktów</a:t>
                </a:r>
              </a:p>
            </c:rich>
          </c:tx>
        </c:title>
        <c:numFmt formatCode="General" sourceLinked="1"/>
        <c:tickLblPos val="nextTo"/>
        <c:txPr>
          <a:bodyPr/>
          <a:lstStyle/>
          <a:p>
            <a:pPr>
              <a:defRPr sz="800"/>
            </a:pPr>
            <a:endParaRPr lang="pl-PL"/>
          </a:p>
        </c:txPr>
        <c:crossAx val="141456512"/>
        <c:crosses val="autoZero"/>
        <c:crossBetween val="between"/>
        <c:majorUnit val="5"/>
      </c:valAx>
      <c:spPr>
        <a:solidFill>
          <a:sysClr val="window" lastClr="FFFFFF">
            <a:lumMod val="95000"/>
          </a:sysClr>
        </a:solidFill>
      </c:spPr>
    </c:plotArea>
    <c:plotVisOnly val="1"/>
  </c:chart>
  <c:spPr>
    <a:solidFill>
      <a:sysClr val="window" lastClr="FFFFFF">
        <a:lumMod val="95000"/>
      </a:sysClr>
    </a:solid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900" b="1"/>
              <a:t>Średnie wyniki sprawdzianu w szkole podstawowej w gminach aglomeracji poznańskiej</a:t>
            </a:r>
            <a:r>
              <a:rPr lang="pl-PL" sz="900" b="1" baseline="0"/>
              <a:t> w 2011 r.</a:t>
            </a:r>
          </a:p>
        </c:rich>
      </c:tx>
      <c:layout>
        <c:manualLayout>
          <c:xMode val="edge"/>
          <c:yMode val="edge"/>
          <c:x val="0.14226547613973825"/>
          <c:y val="0"/>
        </c:manualLayout>
      </c:layout>
    </c:title>
    <c:plotArea>
      <c:layout>
        <c:manualLayout>
          <c:layoutTarget val="inner"/>
          <c:xMode val="edge"/>
          <c:yMode val="edge"/>
          <c:x val="0.3233434504340913"/>
          <c:y val="0.10814853171412359"/>
          <c:w val="0.63068253439565569"/>
          <c:h val="0.7712375101329243"/>
        </c:manualLayout>
      </c:layout>
      <c:barChart>
        <c:barDir val="bar"/>
        <c:grouping val="clustered"/>
        <c:ser>
          <c:idx val="0"/>
          <c:order val="0"/>
          <c:cat>
            <c:strRef>
              <c:f>aglomeracja!$A$196:$A$216</c:f>
              <c:strCache>
                <c:ptCount val="21"/>
                <c:pt idx="0">
                  <c:v>Luboń</c:v>
                </c:pt>
                <c:pt idx="1">
                  <c:v>Komorniki</c:v>
                </c:pt>
                <c:pt idx="2">
                  <c:v>Swarzędz</c:v>
                </c:pt>
                <c:pt idx="3">
                  <c:v>Suchy Las</c:v>
                </c:pt>
                <c:pt idx="4">
                  <c:v>Rokietnica</c:v>
                </c:pt>
                <c:pt idx="5">
                  <c:v>Dopiewo</c:v>
                </c:pt>
                <c:pt idx="6">
                  <c:v>Czerwonak</c:v>
                </c:pt>
                <c:pt idx="7">
                  <c:v>Puszczykowo</c:v>
                </c:pt>
                <c:pt idx="8">
                  <c:v>Szamotuły</c:v>
                </c:pt>
                <c:pt idx="9">
                  <c:v>Kórnik</c:v>
                </c:pt>
                <c:pt idx="10">
                  <c:v>Oborniki</c:v>
                </c:pt>
                <c:pt idx="11">
                  <c:v>Śrem</c:v>
                </c:pt>
                <c:pt idx="12">
                  <c:v>Pobiedziska</c:v>
                </c:pt>
                <c:pt idx="13">
                  <c:v>Tarnowo Podgórne</c:v>
                </c:pt>
                <c:pt idx="14">
                  <c:v>Murowana Goślina</c:v>
                </c:pt>
                <c:pt idx="15">
                  <c:v>Kleszczewo</c:v>
                </c:pt>
                <c:pt idx="16">
                  <c:v>Skoki</c:v>
                </c:pt>
                <c:pt idx="17">
                  <c:v>Kostrzyn</c:v>
                </c:pt>
                <c:pt idx="18">
                  <c:v>Mosina</c:v>
                </c:pt>
                <c:pt idx="19">
                  <c:v>Stęszew</c:v>
                </c:pt>
                <c:pt idx="20">
                  <c:v>Buk</c:v>
                </c:pt>
              </c:strCache>
            </c:strRef>
          </c:cat>
          <c:val>
            <c:numRef>
              <c:f>aglomeracja!$B$196:$B$216</c:f>
              <c:numCache>
                <c:formatCode>General</c:formatCode>
                <c:ptCount val="21"/>
                <c:pt idx="0">
                  <c:v>25.77</c:v>
                </c:pt>
                <c:pt idx="1">
                  <c:v>25.69</c:v>
                </c:pt>
                <c:pt idx="2">
                  <c:v>25.22</c:v>
                </c:pt>
                <c:pt idx="3">
                  <c:v>27.259999999999987</c:v>
                </c:pt>
                <c:pt idx="4">
                  <c:v>25.55</c:v>
                </c:pt>
                <c:pt idx="5">
                  <c:v>26.93</c:v>
                </c:pt>
                <c:pt idx="6">
                  <c:v>25.110000000000031</c:v>
                </c:pt>
                <c:pt idx="7">
                  <c:v>25.99</c:v>
                </c:pt>
                <c:pt idx="8">
                  <c:v>24.75</c:v>
                </c:pt>
                <c:pt idx="9">
                  <c:v>23.69</c:v>
                </c:pt>
                <c:pt idx="10">
                  <c:v>24.2</c:v>
                </c:pt>
                <c:pt idx="11">
                  <c:v>24.979999999999986</c:v>
                </c:pt>
                <c:pt idx="12">
                  <c:v>24.279999999999987</c:v>
                </c:pt>
                <c:pt idx="13">
                  <c:v>26.5</c:v>
                </c:pt>
                <c:pt idx="14">
                  <c:v>23.56</c:v>
                </c:pt>
                <c:pt idx="15">
                  <c:v>26.69</c:v>
                </c:pt>
                <c:pt idx="16">
                  <c:v>22.9</c:v>
                </c:pt>
                <c:pt idx="17">
                  <c:v>24.27</c:v>
                </c:pt>
                <c:pt idx="18">
                  <c:v>24.630000000000031</c:v>
                </c:pt>
                <c:pt idx="19">
                  <c:v>25.439999999999987</c:v>
                </c:pt>
                <c:pt idx="20">
                  <c:v>23.7</c:v>
                </c:pt>
              </c:numCache>
            </c:numRef>
          </c:val>
        </c:ser>
        <c:ser>
          <c:idx val="1"/>
          <c:order val="1"/>
          <c:spPr>
            <a:noFill/>
          </c:spPr>
          <c:trendline>
            <c:name>Wielkopolska</c:name>
            <c:spPr>
              <a:ln w="25400">
                <a:solidFill>
                  <a:srgbClr val="C00000"/>
                </a:solidFill>
              </a:ln>
            </c:spPr>
            <c:trendlineType val="linear"/>
          </c:trendline>
          <c:cat>
            <c:strRef>
              <c:f>aglomeracja!$A$196:$A$216</c:f>
              <c:strCache>
                <c:ptCount val="21"/>
                <c:pt idx="0">
                  <c:v>Luboń</c:v>
                </c:pt>
                <c:pt idx="1">
                  <c:v>Komorniki</c:v>
                </c:pt>
                <c:pt idx="2">
                  <c:v>Swarzędz</c:v>
                </c:pt>
                <c:pt idx="3">
                  <c:v>Suchy Las</c:v>
                </c:pt>
                <c:pt idx="4">
                  <c:v>Rokietnica</c:v>
                </c:pt>
                <c:pt idx="5">
                  <c:v>Dopiewo</c:v>
                </c:pt>
                <c:pt idx="6">
                  <c:v>Czerwonak</c:v>
                </c:pt>
                <c:pt idx="7">
                  <c:v>Puszczykowo</c:v>
                </c:pt>
                <c:pt idx="8">
                  <c:v>Szamotuły</c:v>
                </c:pt>
                <c:pt idx="9">
                  <c:v>Kórnik</c:v>
                </c:pt>
                <c:pt idx="10">
                  <c:v>Oborniki</c:v>
                </c:pt>
                <c:pt idx="11">
                  <c:v>Śrem</c:v>
                </c:pt>
                <c:pt idx="12">
                  <c:v>Pobiedziska</c:v>
                </c:pt>
                <c:pt idx="13">
                  <c:v>Tarnowo Podgórne</c:v>
                </c:pt>
                <c:pt idx="14">
                  <c:v>Murowana Goślina</c:v>
                </c:pt>
                <c:pt idx="15">
                  <c:v>Kleszczewo</c:v>
                </c:pt>
                <c:pt idx="16">
                  <c:v>Skoki</c:v>
                </c:pt>
                <c:pt idx="17">
                  <c:v>Kostrzyn</c:v>
                </c:pt>
                <c:pt idx="18">
                  <c:v>Mosina</c:v>
                </c:pt>
                <c:pt idx="19">
                  <c:v>Stęszew</c:v>
                </c:pt>
                <c:pt idx="20">
                  <c:v>Buk</c:v>
                </c:pt>
              </c:strCache>
            </c:strRef>
          </c:cat>
          <c:val>
            <c:numRef>
              <c:f>aglomeracja!$C$196:$C$216</c:f>
              <c:numCache>
                <c:formatCode>General</c:formatCode>
                <c:ptCount val="21"/>
                <c:pt idx="0">
                  <c:v>24.69</c:v>
                </c:pt>
                <c:pt idx="1">
                  <c:v>24.69</c:v>
                </c:pt>
                <c:pt idx="2">
                  <c:v>24.69</c:v>
                </c:pt>
                <c:pt idx="3">
                  <c:v>24.69</c:v>
                </c:pt>
                <c:pt idx="4">
                  <c:v>24.69</c:v>
                </c:pt>
                <c:pt idx="5">
                  <c:v>24.69</c:v>
                </c:pt>
                <c:pt idx="6">
                  <c:v>24.69</c:v>
                </c:pt>
                <c:pt idx="7">
                  <c:v>24.69</c:v>
                </c:pt>
                <c:pt idx="8">
                  <c:v>24.69</c:v>
                </c:pt>
                <c:pt idx="9">
                  <c:v>24.69</c:v>
                </c:pt>
                <c:pt idx="10">
                  <c:v>24.69</c:v>
                </c:pt>
                <c:pt idx="11">
                  <c:v>24.69</c:v>
                </c:pt>
                <c:pt idx="12">
                  <c:v>24.69</c:v>
                </c:pt>
                <c:pt idx="13">
                  <c:v>24.69</c:v>
                </c:pt>
                <c:pt idx="14">
                  <c:v>24.69</c:v>
                </c:pt>
                <c:pt idx="15">
                  <c:v>24.69</c:v>
                </c:pt>
                <c:pt idx="16">
                  <c:v>24.69</c:v>
                </c:pt>
                <c:pt idx="17">
                  <c:v>24.69</c:v>
                </c:pt>
                <c:pt idx="18">
                  <c:v>24.69</c:v>
                </c:pt>
                <c:pt idx="19">
                  <c:v>24.69</c:v>
                </c:pt>
                <c:pt idx="20">
                  <c:v>24.69</c:v>
                </c:pt>
              </c:numCache>
            </c:numRef>
          </c:val>
        </c:ser>
        <c:gapWidth val="0"/>
        <c:axId val="141723520"/>
        <c:axId val="141725056"/>
      </c:barChart>
      <c:catAx>
        <c:axId val="141723520"/>
        <c:scaling>
          <c:orientation val="minMax"/>
        </c:scaling>
        <c:axPos val="l"/>
        <c:tickLblPos val="nextTo"/>
        <c:txPr>
          <a:bodyPr/>
          <a:lstStyle/>
          <a:p>
            <a:pPr>
              <a:defRPr sz="800"/>
            </a:pPr>
            <a:endParaRPr lang="pl-PL"/>
          </a:p>
        </c:txPr>
        <c:crossAx val="141725056"/>
        <c:crosses val="autoZero"/>
        <c:auto val="1"/>
        <c:lblAlgn val="ctr"/>
        <c:lblOffset val="100"/>
      </c:catAx>
      <c:valAx>
        <c:axId val="141725056"/>
        <c:scaling>
          <c:orientation val="minMax"/>
          <c:max val="27"/>
        </c:scaling>
        <c:axPos val="b"/>
        <c:majorGridlines/>
        <c:title>
          <c:tx>
            <c:rich>
              <a:bodyPr/>
              <a:lstStyle/>
              <a:p>
                <a:pPr>
                  <a:defRPr/>
                </a:pPr>
                <a:r>
                  <a:rPr lang="pl-PL" sz="800" b="0"/>
                  <a:t>liczba punktów</a:t>
                </a:r>
              </a:p>
            </c:rich>
          </c:tx>
          <c:layout>
            <c:manualLayout>
              <c:xMode val="edge"/>
              <c:yMode val="edge"/>
              <c:x val="0.78610279965004359"/>
              <c:y val="0.92941076314191651"/>
            </c:manualLayout>
          </c:layout>
        </c:title>
        <c:numFmt formatCode="General" sourceLinked="1"/>
        <c:tickLblPos val="nextTo"/>
        <c:txPr>
          <a:bodyPr/>
          <a:lstStyle/>
          <a:p>
            <a:pPr>
              <a:defRPr sz="800"/>
            </a:pPr>
            <a:endParaRPr lang="pl-PL"/>
          </a:p>
        </c:txPr>
        <c:crossAx val="141723520"/>
        <c:crosses val="autoZero"/>
        <c:crossBetween val="between"/>
        <c:majorUnit val="1"/>
      </c:valAx>
      <c:spPr>
        <a:solidFill>
          <a:sysClr val="window" lastClr="FFFFFF">
            <a:lumMod val="95000"/>
          </a:sysClr>
        </a:solidFill>
      </c:spPr>
    </c:plotArea>
    <c:legend>
      <c:legendPos val="b"/>
      <c:legendEntry>
        <c:idx val="1"/>
        <c:delete val="1"/>
      </c:legendEntry>
      <c:legendEntry>
        <c:idx val="0"/>
        <c:delete val="1"/>
      </c:legendEntry>
      <c:layout>
        <c:manualLayout>
          <c:xMode val="edge"/>
          <c:yMode val="edge"/>
          <c:x val="0.19799963247290997"/>
          <c:y val="0.94590366733776021"/>
          <c:w val="0.40758370499453084"/>
          <c:h val="5.3711632293074393E-2"/>
        </c:manualLayout>
      </c:layout>
      <c:txPr>
        <a:bodyPr/>
        <a:lstStyle/>
        <a:p>
          <a:pPr>
            <a:defRPr sz="900"/>
          </a:pPr>
          <a:endParaRPr lang="pl-PL"/>
        </a:p>
      </c:txPr>
    </c:legend>
    <c:plotVisOnly val="1"/>
  </c:chart>
  <c:spPr>
    <a:solidFill>
      <a:schemeClr val="bg1">
        <a:lumMod val="95000"/>
      </a:schemeClr>
    </a:solidFill>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900"/>
            </a:pPr>
            <a:r>
              <a:rPr lang="pl-PL" sz="900"/>
              <a:t>Średnie</a:t>
            </a:r>
            <a:r>
              <a:rPr lang="pl-PL" sz="900" baseline="0"/>
              <a:t> wyniki sprawdzianu w szkole podstawowej w wybranych gminach miejsko-wiejskich o porównywalnej wielkości w 2011 r.</a:t>
            </a:r>
            <a:endParaRPr lang="pl-PL" sz="900"/>
          </a:p>
        </c:rich>
      </c:tx>
      <c:layout>
        <c:manualLayout>
          <c:xMode val="edge"/>
          <c:yMode val="edge"/>
          <c:x val="0.13799377533434284"/>
          <c:y val="0"/>
        </c:manualLayout>
      </c:layout>
    </c:title>
    <c:plotArea>
      <c:layout>
        <c:manualLayout>
          <c:layoutTarget val="inner"/>
          <c:xMode val="edge"/>
          <c:yMode val="edge"/>
          <c:x val="0.27511329833770781"/>
          <c:y val="0.15467592315025555"/>
          <c:w val="0.6802548118985231"/>
          <c:h val="0.692950222678276"/>
        </c:manualLayout>
      </c:layout>
      <c:barChart>
        <c:barDir val="bar"/>
        <c:grouping val="clustered"/>
        <c:ser>
          <c:idx val="0"/>
          <c:order val="0"/>
          <c:cat>
            <c:strRef>
              <c:f>'gm. 15-20 tys.'!$A$127:$A$136</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tys.'!$B$127:$B$136</c:f>
              <c:numCache>
                <c:formatCode>General</c:formatCode>
                <c:ptCount val="10"/>
                <c:pt idx="0">
                  <c:v>23.72</c:v>
                </c:pt>
                <c:pt idx="1">
                  <c:v>24.17</c:v>
                </c:pt>
                <c:pt idx="2">
                  <c:v>23</c:v>
                </c:pt>
                <c:pt idx="3">
                  <c:v>23.919999999999987</c:v>
                </c:pt>
                <c:pt idx="4">
                  <c:v>24.19</c:v>
                </c:pt>
                <c:pt idx="5">
                  <c:v>22.67</c:v>
                </c:pt>
                <c:pt idx="6">
                  <c:v>24.27</c:v>
                </c:pt>
                <c:pt idx="7">
                  <c:v>23.56</c:v>
                </c:pt>
                <c:pt idx="8">
                  <c:v>24.279999999999987</c:v>
                </c:pt>
                <c:pt idx="9">
                  <c:v>23.72</c:v>
                </c:pt>
              </c:numCache>
            </c:numRef>
          </c:val>
        </c:ser>
        <c:ser>
          <c:idx val="1"/>
          <c:order val="1"/>
          <c:spPr>
            <a:noFill/>
          </c:spPr>
          <c:trendline>
            <c:name>Wielkopolska</c:name>
            <c:spPr>
              <a:ln w="25400">
                <a:solidFill>
                  <a:srgbClr val="C00000"/>
                </a:solidFill>
              </a:ln>
            </c:spPr>
            <c:trendlineType val="linear"/>
          </c:trendline>
          <c:cat>
            <c:strRef>
              <c:f>'gm. 15-20 tys.'!$A$127:$A$136</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tys.'!$C$127:$C$136</c:f>
              <c:numCache>
                <c:formatCode>General</c:formatCode>
                <c:ptCount val="10"/>
                <c:pt idx="0">
                  <c:v>24.69</c:v>
                </c:pt>
                <c:pt idx="1">
                  <c:v>24.69</c:v>
                </c:pt>
                <c:pt idx="2">
                  <c:v>24.69</c:v>
                </c:pt>
                <c:pt idx="3">
                  <c:v>24.69</c:v>
                </c:pt>
                <c:pt idx="4">
                  <c:v>24.69</c:v>
                </c:pt>
                <c:pt idx="5">
                  <c:v>24.69</c:v>
                </c:pt>
                <c:pt idx="6">
                  <c:v>24.69</c:v>
                </c:pt>
                <c:pt idx="7">
                  <c:v>24.69</c:v>
                </c:pt>
                <c:pt idx="8">
                  <c:v>24.69</c:v>
                </c:pt>
                <c:pt idx="9">
                  <c:v>24.69</c:v>
                </c:pt>
              </c:numCache>
            </c:numRef>
          </c:val>
        </c:ser>
        <c:gapWidth val="100"/>
        <c:axId val="144794368"/>
        <c:axId val="144797056"/>
      </c:barChart>
      <c:catAx>
        <c:axId val="144794368"/>
        <c:scaling>
          <c:orientation val="minMax"/>
        </c:scaling>
        <c:axPos val="l"/>
        <c:tickLblPos val="nextTo"/>
        <c:txPr>
          <a:bodyPr/>
          <a:lstStyle/>
          <a:p>
            <a:pPr>
              <a:defRPr sz="900"/>
            </a:pPr>
            <a:endParaRPr lang="pl-PL"/>
          </a:p>
        </c:txPr>
        <c:crossAx val="144797056"/>
        <c:crosses val="autoZero"/>
        <c:auto val="1"/>
        <c:lblAlgn val="ctr"/>
        <c:lblOffset val="100"/>
      </c:catAx>
      <c:valAx>
        <c:axId val="144797056"/>
        <c:scaling>
          <c:orientation val="minMax"/>
        </c:scaling>
        <c:axPos val="b"/>
        <c:majorGridlines/>
        <c:title>
          <c:tx>
            <c:rich>
              <a:bodyPr/>
              <a:lstStyle/>
              <a:p>
                <a:pPr>
                  <a:defRPr/>
                </a:pPr>
                <a:r>
                  <a:rPr lang="pl-PL" sz="800" b="0"/>
                  <a:t>liczba punktów</a:t>
                </a:r>
              </a:p>
            </c:rich>
          </c:tx>
          <c:layout>
            <c:manualLayout>
              <c:xMode val="edge"/>
              <c:yMode val="edge"/>
              <c:x val="0.81394903762032034"/>
              <c:y val="0.9034817002041412"/>
            </c:manualLayout>
          </c:layout>
        </c:title>
        <c:numFmt formatCode="General" sourceLinked="1"/>
        <c:tickLblPos val="nextTo"/>
        <c:txPr>
          <a:bodyPr/>
          <a:lstStyle/>
          <a:p>
            <a:pPr>
              <a:defRPr sz="800"/>
            </a:pPr>
            <a:endParaRPr lang="pl-PL"/>
          </a:p>
        </c:txPr>
        <c:crossAx val="144794368"/>
        <c:crosses val="autoZero"/>
        <c:crossBetween val="between"/>
      </c:valAx>
      <c:spPr>
        <a:solidFill>
          <a:sysClr val="window" lastClr="FFFFFF">
            <a:lumMod val="95000"/>
          </a:sysClr>
        </a:solidFill>
      </c:spPr>
    </c:plotArea>
    <c:legend>
      <c:legendPos val="b"/>
      <c:legendEntry>
        <c:idx val="1"/>
        <c:delete val="1"/>
      </c:legendEntry>
      <c:legendEntry>
        <c:idx val="0"/>
        <c:delete val="1"/>
      </c:legendEntry>
      <c:layout>
        <c:manualLayout>
          <c:xMode val="edge"/>
          <c:yMode val="edge"/>
          <c:x val="0.12280093530653639"/>
          <c:y val="0.9116531787693205"/>
          <c:w val="0.51056040200043351"/>
          <c:h val="8.3717191601050026E-2"/>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900"/>
              <a:t>Aglomeracja poznańska - korzystający z instalacji w % ogółu ludności w 2009 r.</a:t>
            </a:r>
          </a:p>
        </c:rich>
      </c:tx>
      <c:layout>
        <c:manualLayout>
          <c:xMode val="edge"/>
          <c:yMode val="edge"/>
          <c:x val="0.11417111169369942"/>
          <c:y val="0"/>
        </c:manualLayout>
      </c:layout>
    </c:title>
    <c:plotArea>
      <c:layout>
        <c:manualLayout>
          <c:layoutTarget val="inner"/>
          <c:xMode val="edge"/>
          <c:yMode val="edge"/>
          <c:x val="0.23009571997933226"/>
          <c:y val="7.2642132975909074E-2"/>
          <c:w val="0.53554757863836866"/>
          <c:h val="0.86138268260912165"/>
        </c:manualLayout>
      </c:layout>
      <c:barChart>
        <c:barDir val="bar"/>
        <c:grouping val="clustered"/>
        <c:ser>
          <c:idx val="0"/>
          <c:order val="0"/>
          <c:tx>
            <c:strRef>
              <c:f>aglomeracja!$B$29</c:f>
              <c:strCache>
                <c:ptCount val="1"/>
                <c:pt idx="0">
                  <c:v>wodociąg</c:v>
                </c:pt>
              </c:strCache>
            </c:strRef>
          </c:tx>
          <c:cat>
            <c:strRef>
              <c:f>aglomeracja!$A$32:$A$52</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aglomeracja!$B$32:$B$52</c:f>
              <c:numCache>
                <c:formatCode>0.0</c:formatCode>
                <c:ptCount val="21"/>
                <c:pt idx="0">
                  <c:v>88.9</c:v>
                </c:pt>
                <c:pt idx="1">
                  <c:v>85.4</c:v>
                </c:pt>
                <c:pt idx="2">
                  <c:v>94.9</c:v>
                </c:pt>
                <c:pt idx="3">
                  <c:v>85.9</c:v>
                </c:pt>
                <c:pt idx="4">
                  <c:v>93.6</c:v>
                </c:pt>
                <c:pt idx="5">
                  <c:v>93.2</c:v>
                </c:pt>
                <c:pt idx="6">
                  <c:v>95.1</c:v>
                </c:pt>
                <c:pt idx="7">
                  <c:v>91.6</c:v>
                </c:pt>
                <c:pt idx="8">
                  <c:v>95.6</c:v>
                </c:pt>
                <c:pt idx="9">
                  <c:v>95.9</c:v>
                </c:pt>
                <c:pt idx="10">
                  <c:v>85.5</c:v>
                </c:pt>
                <c:pt idx="11">
                  <c:v>91</c:v>
                </c:pt>
                <c:pt idx="12">
                  <c:v>83.5</c:v>
                </c:pt>
                <c:pt idx="13">
                  <c:v>92.7</c:v>
                </c:pt>
                <c:pt idx="14">
                  <c:v>94.5</c:v>
                </c:pt>
                <c:pt idx="15">
                  <c:v>93.4</c:v>
                </c:pt>
                <c:pt idx="16">
                  <c:v>95.6</c:v>
                </c:pt>
                <c:pt idx="17">
                  <c:v>93.9</c:v>
                </c:pt>
                <c:pt idx="18">
                  <c:v>94.6</c:v>
                </c:pt>
                <c:pt idx="19">
                  <c:v>95.9</c:v>
                </c:pt>
                <c:pt idx="20">
                  <c:v>95.6</c:v>
                </c:pt>
              </c:numCache>
            </c:numRef>
          </c:val>
        </c:ser>
        <c:ser>
          <c:idx val="1"/>
          <c:order val="1"/>
          <c:tx>
            <c:strRef>
              <c:f>aglomeracja!$C$29</c:f>
              <c:strCache>
                <c:ptCount val="1"/>
                <c:pt idx="0">
                  <c:v>kanalizacja</c:v>
                </c:pt>
              </c:strCache>
            </c:strRef>
          </c:tx>
          <c:cat>
            <c:strRef>
              <c:f>aglomeracja!$A$32:$A$52</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aglomeracja!$C$32:$C$52</c:f>
              <c:numCache>
                <c:formatCode>0.0</c:formatCode>
                <c:ptCount val="21"/>
                <c:pt idx="0">
                  <c:v>46.6</c:v>
                </c:pt>
                <c:pt idx="1">
                  <c:v>54.9</c:v>
                </c:pt>
                <c:pt idx="2">
                  <c:v>65.099999999999994</c:v>
                </c:pt>
                <c:pt idx="3">
                  <c:v>32.6</c:v>
                </c:pt>
                <c:pt idx="4">
                  <c:v>25.8</c:v>
                </c:pt>
                <c:pt idx="5">
                  <c:v>68.2</c:v>
                </c:pt>
                <c:pt idx="6">
                  <c:v>47</c:v>
                </c:pt>
                <c:pt idx="7">
                  <c:v>30.7</c:v>
                </c:pt>
                <c:pt idx="8">
                  <c:v>52.1</c:v>
                </c:pt>
                <c:pt idx="9">
                  <c:v>64.400000000000006</c:v>
                </c:pt>
                <c:pt idx="10">
                  <c:v>35.200000000000003</c:v>
                </c:pt>
                <c:pt idx="11">
                  <c:v>54.6</c:v>
                </c:pt>
                <c:pt idx="12">
                  <c:v>50.3</c:v>
                </c:pt>
                <c:pt idx="13">
                  <c:v>40</c:v>
                </c:pt>
                <c:pt idx="14">
                  <c:v>53.2</c:v>
                </c:pt>
                <c:pt idx="15">
                  <c:v>50.2</c:v>
                </c:pt>
                <c:pt idx="16">
                  <c:v>63.2</c:v>
                </c:pt>
                <c:pt idx="17">
                  <c:v>75.3</c:v>
                </c:pt>
                <c:pt idx="18">
                  <c:v>54.2</c:v>
                </c:pt>
                <c:pt idx="19">
                  <c:v>77.2</c:v>
                </c:pt>
                <c:pt idx="20">
                  <c:v>84.7</c:v>
                </c:pt>
              </c:numCache>
            </c:numRef>
          </c:val>
        </c:ser>
        <c:ser>
          <c:idx val="2"/>
          <c:order val="2"/>
          <c:tx>
            <c:strRef>
              <c:f>aglomeracja!$D$29</c:f>
              <c:strCache>
                <c:ptCount val="1"/>
                <c:pt idx="0">
                  <c:v>gaz</c:v>
                </c:pt>
              </c:strCache>
            </c:strRef>
          </c:tx>
          <c:cat>
            <c:strRef>
              <c:f>aglomeracja!$A$32:$A$52</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aglomeracja!$D$32:$D$52</c:f>
              <c:numCache>
                <c:formatCode>0.0</c:formatCode>
                <c:ptCount val="21"/>
                <c:pt idx="0">
                  <c:v>0</c:v>
                </c:pt>
                <c:pt idx="1">
                  <c:v>53.4</c:v>
                </c:pt>
                <c:pt idx="2">
                  <c:v>80.7</c:v>
                </c:pt>
                <c:pt idx="3">
                  <c:v>64.8</c:v>
                </c:pt>
                <c:pt idx="4">
                  <c:v>39.6</c:v>
                </c:pt>
                <c:pt idx="5">
                  <c:v>61.9</c:v>
                </c:pt>
                <c:pt idx="6">
                  <c:v>83.6</c:v>
                </c:pt>
                <c:pt idx="7">
                  <c:v>64.599999999999994</c:v>
                </c:pt>
                <c:pt idx="8">
                  <c:v>96.6</c:v>
                </c:pt>
                <c:pt idx="9">
                  <c:v>42.8</c:v>
                </c:pt>
                <c:pt idx="10">
                  <c:v>89.6</c:v>
                </c:pt>
                <c:pt idx="11">
                  <c:v>33.6</c:v>
                </c:pt>
                <c:pt idx="12">
                  <c:v>54.3</c:v>
                </c:pt>
                <c:pt idx="13">
                  <c:v>74.599999999999994</c:v>
                </c:pt>
                <c:pt idx="14">
                  <c:v>63</c:v>
                </c:pt>
                <c:pt idx="15">
                  <c:v>62</c:v>
                </c:pt>
                <c:pt idx="16">
                  <c:v>70.099999999999994</c:v>
                </c:pt>
                <c:pt idx="17">
                  <c:v>78.599999999999994</c:v>
                </c:pt>
                <c:pt idx="18">
                  <c:v>90.8</c:v>
                </c:pt>
                <c:pt idx="19">
                  <c:v>16.5</c:v>
                </c:pt>
                <c:pt idx="20">
                  <c:v>80.5</c:v>
                </c:pt>
              </c:numCache>
            </c:numRef>
          </c:val>
        </c:ser>
        <c:ser>
          <c:idx val="3"/>
          <c:order val="3"/>
          <c:spPr>
            <a:noFill/>
          </c:spPr>
          <c:trendline>
            <c:name>wodociąg - Wielkopolska</c:name>
            <c:spPr>
              <a:ln w="25400">
                <a:solidFill>
                  <a:schemeClr val="accent1"/>
                </a:solidFill>
              </a:ln>
            </c:spPr>
            <c:trendlineType val="linear"/>
          </c:trendline>
          <c:cat>
            <c:strRef>
              <c:f>aglomeracja!$A$32:$A$52</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aglomeracja!$E$32:$E$52</c:f>
              <c:numCache>
                <c:formatCode>0.0</c:formatCode>
                <c:ptCount val="21"/>
                <c:pt idx="0">
                  <c:v>92.4</c:v>
                </c:pt>
                <c:pt idx="1">
                  <c:v>92.4</c:v>
                </c:pt>
                <c:pt idx="2">
                  <c:v>92.4</c:v>
                </c:pt>
                <c:pt idx="3">
                  <c:v>92.4</c:v>
                </c:pt>
                <c:pt idx="4">
                  <c:v>92.4</c:v>
                </c:pt>
                <c:pt idx="5">
                  <c:v>92.4</c:v>
                </c:pt>
                <c:pt idx="6">
                  <c:v>92.4</c:v>
                </c:pt>
                <c:pt idx="7">
                  <c:v>92.4</c:v>
                </c:pt>
                <c:pt idx="8">
                  <c:v>92.4</c:v>
                </c:pt>
                <c:pt idx="9">
                  <c:v>92.4</c:v>
                </c:pt>
                <c:pt idx="10">
                  <c:v>92.4</c:v>
                </c:pt>
                <c:pt idx="11">
                  <c:v>92.4</c:v>
                </c:pt>
                <c:pt idx="12">
                  <c:v>92.4</c:v>
                </c:pt>
                <c:pt idx="13">
                  <c:v>92.4</c:v>
                </c:pt>
                <c:pt idx="14">
                  <c:v>92.4</c:v>
                </c:pt>
                <c:pt idx="15">
                  <c:v>92.4</c:v>
                </c:pt>
                <c:pt idx="16">
                  <c:v>92.4</c:v>
                </c:pt>
                <c:pt idx="17">
                  <c:v>92.4</c:v>
                </c:pt>
                <c:pt idx="18">
                  <c:v>92.4</c:v>
                </c:pt>
                <c:pt idx="19">
                  <c:v>92.4</c:v>
                </c:pt>
                <c:pt idx="20">
                  <c:v>92.4</c:v>
                </c:pt>
              </c:numCache>
            </c:numRef>
          </c:val>
        </c:ser>
        <c:ser>
          <c:idx val="4"/>
          <c:order val="4"/>
          <c:spPr>
            <a:noFill/>
          </c:spPr>
          <c:trendline>
            <c:name>kanalizacja - Wielkopolska</c:name>
            <c:spPr>
              <a:ln w="25400">
                <a:solidFill>
                  <a:srgbClr val="C00000"/>
                </a:solidFill>
              </a:ln>
            </c:spPr>
            <c:trendlineType val="linear"/>
          </c:trendline>
          <c:cat>
            <c:strRef>
              <c:f>aglomeracja!$A$32:$A$52</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aglomeracja!$F$32:$F$52</c:f>
              <c:numCache>
                <c:formatCode>0.0</c:formatCode>
                <c:ptCount val="21"/>
                <c:pt idx="0">
                  <c:v>60.4</c:v>
                </c:pt>
                <c:pt idx="1">
                  <c:v>60.4</c:v>
                </c:pt>
                <c:pt idx="2">
                  <c:v>60.4</c:v>
                </c:pt>
                <c:pt idx="3">
                  <c:v>60.4</c:v>
                </c:pt>
                <c:pt idx="4">
                  <c:v>60.4</c:v>
                </c:pt>
                <c:pt idx="5">
                  <c:v>60.4</c:v>
                </c:pt>
                <c:pt idx="6">
                  <c:v>60.4</c:v>
                </c:pt>
                <c:pt idx="7">
                  <c:v>60.4</c:v>
                </c:pt>
                <c:pt idx="8">
                  <c:v>60.4</c:v>
                </c:pt>
                <c:pt idx="9">
                  <c:v>60.4</c:v>
                </c:pt>
                <c:pt idx="10">
                  <c:v>60.4</c:v>
                </c:pt>
                <c:pt idx="11">
                  <c:v>60.4</c:v>
                </c:pt>
                <c:pt idx="12">
                  <c:v>60.4</c:v>
                </c:pt>
                <c:pt idx="13">
                  <c:v>60.4</c:v>
                </c:pt>
                <c:pt idx="14">
                  <c:v>60.4</c:v>
                </c:pt>
                <c:pt idx="15">
                  <c:v>60.4</c:v>
                </c:pt>
                <c:pt idx="16">
                  <c:v>60.4</c:v>
                </c:pt>
                <c:pt idx="17">
                  <c:v>60.4</c:v>
                </c:pt>
                <c:pt idx="18">
                  <c:v>60.4</c:v>
                </c:pt>
                <c:pt idx="19">
                  <c:v>60.4</c:v>
                </c:pt>
                <c:pt idx="20">
                  <c:v>60.4</c:v>
                </c:pt>
              </c:numCache>
            </c:numRef>
          </c:val>
        </c:ser>
        <c:ser>
          <c:idx val="5"/>
          <c:order val="5"/>
          <c:spPr>
            <a:noFill/>
          </c:spPr>
          <c:trendline>
            <c:name>gaz - Wielkopolska</c:name>
            <c:spPr>
              <a:ln w="25400">
                <a:solidFill>
                  <a:schemeClr val="accent3">
                    <a:lumMod val="75000"/>
                  </a:schemeClr>
                </a:solidFill>
              </a:ln>
              <a:effectLst>
                <a:outerShdw blurRad="63500" sx="102000" sy="102000" algn="ctr" rotWithShape="0">
                  <a:srgbClr val="00B050">
                    <a:alpha val="40000"/>
                  </a:srgbClr>
                </a:outerShdw>
              </a:effectLst>
            </c:spPr>
            <c:trendlineType val="linear"/>
          </c:trendline>
          <c:cat>
            <c:strRef>
              <c:f>aglomeracja!$A$32:$A$52</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aglomeracja!$G$32:$G$52</c:f>
              <c:numCache>
                <c:formatCode>0.0</c:formatCode>
                <c:ptCount val="21"/>
                <c:pt idx="0">
                  <c:v>47.7</c:v>
                </c:pt>
                <c:pt idx="1">
                  <c:v>47.7</c:v>
                </c:pt>
                <c:pt idx="2">
                  <c:v>47.7</c:v>
                </c:pt>
                <c:pt idx="3">
                  <c:v>47.7</c:v>
                </c:pt>
                <c:pt idx="4">
                  <c:v>47.7</c:v>
                </c:pt>
                <c:pt idx="5">
                  <c:v>47.7</c:v>
                </c:pt>
                <c:pt idx="6">
                  <c:v>47.7</c:v>
                </c:pt>
                <c:pt idx="7">
                  <c:v>47.7</c:v>
                </c:pt>
                <c:pt idx="8">
                  <c:v>47.7</c:v>
                </c:pt>
                <c:pt idx="9">
                  <c:v>47.7</c:v>
                </c:pt>
                <c:pt idx="10">
                  <c:v>47.7</c:v>
                </c:pt>
                <c:pt idx="11">
                  <c:v>47.7</c:v>
                </c:pt>
                <c:pt idx="12">
                  <c:v>47.7</c:v>
                </c:pt>
                <c:pt idx="13">
                  <c:v>47.7</c:v>
                </c:pt>
                <c:pt idx="14">
                  <c:v>47.7</c:v>
                </c:pt>
                <c:pt idx="15">
                  <c:v>47.7</c:v>
                </c:pt>
                <c:pt idx="16">
                  <c:v>47.7</c:v>
                </c:pt>
                <c:pt idx="17">
                  <c:v>47.7</c:v>
                </c:pt>
                <c:pt idx="18">
                  <c:v>47.7</c:v>
                </c:pt>
                <c:pt idx="19">
                  <c:v>47.7</c:v>
                </c:pt>
                <c:pt idx="20">
                  <c:v>47.7</c:v>
                </c:pt>
              </c:numCache>
            </c:numRef>
          </c:val>
        </c:ser>
        <c:gapWidth val="0"/>
        <c:axId val="145383424"/>
        <c:axId val="145384960"/>
      </c:barChart>
      <c:catAx>
        <c:axId val="145383424"/>
        <c:scaling>
          <c:orientation val="minMax"/>
        </c:scaling>
        <c:axPos val="l"/>
        <c:tickLblPos val="nextTo"/>
        <c:txPr>
          <a:bodyPr/>
          <a:lstStyle/>
          <a:p>
            <a:pPr>
              <a:defRPr sz="800"/>
            </a:pPr>
            <a:endParaRPr lang="pl-PL"/>
          </a:p>
        </c:txPr>
        <c:crossAx val="145384960"/>
        <c:crosses val="autoZero"/>
        <c:auto val="1"/>
        <c:lblAlgn val="ctr"/>
        <c:lblOffset val="100"/>
      </c:catAx>
      <c:valAx>
        <c:axId val="145384960"/>
        <c:scaling>
          <c:orientation val="minMax"/>
          <c:max val="100"/>
        </c:scaling>
        <c:axPos val="b"/>
        <c:majorGridlines/>
        <c:title>
          <c:tx>
            <c:rich>
              <a:bodyPr/>
              <a:lstStyle/>
              <a:p>
                <a:pPr>
                  <a:defRPr/>
                </a:pPr>
                <a:r>
                  <a:rPr lang="pl-PL" sz="800" b="0"/>
                  <a:t>%</a:t>
                </a:r>
              </a:p>
            </c:rich>
          </c:tx>
        </c:title>
        <c:numFmt formatCode="0" sourceLinked="0"/>
        <c:tickLblPos val="nextTo"/>
        <c:txPr>
          <a:bodyPr/>
          <a:lstStyle/>
          <a:p>
            <a:pPr>
              <a:defRPr sz="800"/>
            </a:pPr>
            <a:endParaRPr lang="pl-PL"/>
          </a:p>
        </c:txPr>
        <c:crossAx val="145383424"/>
        <c:crosses val="autoZero"/>
        <c:crossBetween val="between"/>
        <c:majorUnit val="10"/>
      </c:valAx>
      <c:spPr>
        <a:solidFill>
          <a:sysClr val="window" lastClr="FFFFFF">
            <a:lumMod val="95000"/>
          </a:sysClr>
        </a:solidFill>
      </c:spPr>
    </c:plotArea>
    <c:legend>
      <c:legendPos val="r"/>
      <c:legendEntry>
        <c:idx val="2"/>
        <c:delete val="1"/>
      </c:legendEntry>
      <c:legendEntry>
        <c:idx val="1"/>
        <c:delete val="1"/>
      </c:legendEntry>
      <c:legendEntry>
        <c:idx val="0"/>
        <c:delete val="1"/>
      </c:legendEntry>
      <c:layout>
        <c:manualLayout>
          <c:xMode val="edge"/>
          <c:yMode val="edge"/>
          <c:x val="0.74886241149693111"/>
          <c:y val="0.15184759788666494"/>
          <c:w val="0.24673101272241013"/>
          <c:h val="0.76873864913202683"/>
        </c:manualLayout>
      </c:layout>
      <c:txPr>
        <a:bodyPr/>
        <a:lstStyle/>
        <a:p>
          <a:pPr>
            <a:defRPr sz="700"/>
          </a:pPr>
          <a:endParaRPr lang="pl-PL"/>
        </a:p>
      </c:txPr>
    </c:legend>
    <c:plotVisOnly val="1"/>
  </c:chart>
  <c:spPr>
    <a:solidFill>
      <a:schemeClr val="bg1">
        <a:lumMod val="95000"/>
      </a:schemeClr>
    </a:solidFill>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900"/>
              <a:t>Wybrane gminy miejsko-wiejskie o porównywalnej wielkości - korzystający z instalacji w % ogółu ludności w 2009 r.</a:t>
            </a:r>
          </a:p>
        </c:rich>
      </c:tx>
      <c:layout>
        <c:manualLayout>
          <c:xMode val="edge"/>
          <c:yMode val="edge"/>
          <c:x val="0.10889530022536049"/>
          <c:y val="0"/>
        </c:manualLayout>
      </c:layout>
      <c:spPr>
        <a:solidFill>
          <a:sysClr val="window" lastClr="FFFFFF">
            <a:lumMod val="95000"/>
          </a:sysClr>
        </a:solidFill>
        <a:ln>
          <a:noFill/>
        </a:ln>
      </c:spPr>
    </c:title>
    <c:plotArea>
      <c:layout>
        <c:manualLayout>
          <c:layoutTarget val="inner"/>
          <c:xMode val="edge"/>
          <c:yMode val="edge"/>
          <c:x val="0.32693479544328935"/>
          <c:y val="0.12392442957409877"/>
          <c:w val="0.60375049632147637"/>
          <c:h val="0.79241837236393653"/>
        </c:manualLayout>
      </c:layout>
      <c:barChart>
        <c:barDir val="bar"/>
        <c:grouping val="clustered"/>
        <c:ser>
          <c:idx val="0"/>
          <c:order val="0"/>
          <c:tx>
            <c:strRef>
              <c:f>'gm. 15-20 tys.'!$B$25</c:f>
              <c:strCache>
                <c:ptCount val="1"/>
                <c:pt idx="0">
                  <c:v>wodociąg</c:v>
                </c:pt>
              </c:strCache>
            </c:strRef>
          </c:tx>
          <c:cat>
            <c:strRef>
              <c:f>'gm. 15-20 tys.'!$A$28:$A$37</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tys.'!$B$28:$B$37</c:f>
              <c:numCache>
                <c:formatCode>0.0</c:formatCode>
                <c:ptCount val="10"/>
                <c:pt idx="0">
                  <c:v>89.1</c:v>
                </c:pt>
                <c:pt idx="1">
                  <c:v>87.8</c:v>
                </c:pt>
                <c:pt idx="2">
                  <c:v>90.2</c:v>
                </c:pt>
                <c:pt idx="3">
                  <c:v>88.3</c:v>
                </c:pt>
                <c:pt idx="4">
                  <c:v>95.8</c:v>
                </c:pt>
                <c:pt idx="5">
                  <c:v>92.8</c:v>
                </c:pt>
                <c:pt idx="6">
                  <c:v>95.9</c:v>
                </c:pt>
                <c:pt idx="7">
                  <c:v>83.5</c:v>
                </c:pt>
                <c:pt idx="8">
                  <c:v>92.7</c:v>
                </c:pt>
                <c:pt idx="9">
                  <c:v>90.8</c:v>
                </c:pt>
              </c:numCache>
            </c:numRef>
          </c:val>
        </c:ser>
        <c:ser>
          <c:idx val="1"/>
          <c:order val="1"/>
          <c:tx>
            <c:strRef>
              <c:f>'gm. 15-20 tys.'!$C$25</c:f>
              <c:strCache>
                <c:ptCount val="1"/>
                <c:pt idx="0">
                  <c:v>kanalizacja</c:v>
                </c:pt>
              </c:strCache>
            </c:strRef>
          </c:tx>
          <c:cat>
            <c:strRef>
              <c:f>'gm. 15-20 tys.'!$A$28:$A$37</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tys.'!$C$28:$C$37</c:f>
              <c:numCache>
                <c:formatCode>0.0</c:formatCode>
                <c:ptCount val="10"/>
                <c:pt idx="0">
                  <c:v>39.700000000000003</c:v>
                </c:pt>
                <c:pt idx="1">
                  <c:v>53.8</c:v>
                </c:pt>
                <c:pt idx="2">
                  <c:v>28</c:v>
                </c:pt>
                <c:pt idx="3">
                  <c:v>71.7</c:v>
                </c:pt>
                <c:pt idx="4">
                  <c:v>34</c:v>
                </c:pt>
                <c:pt idx="5">
                  <c:v>47.4</c:v>
                </c:pt>
                <c:pt idx="6">
                  <c:v>64.400000000000006</c:v>
                </c:pt>
                <c:pt idx="7">
                  <c:v>50.3</c:v>
                </c:pt>
                <c:pt idx="8">
                  <c:v>40</c:v>
                </c:pt>
                <c:pt idx="9">
                  <c:v>54.3</c:v>
                </c:pt>
              </c:numCache>
            </c:numRef>
          </c:val>
        </c:ser>
        <c:ser>
          <c:idx val="2"/>
          <c:order val="2"/>
          <c:tx>
            <c:strRef>
              <c:f>'gm. 15-20 tys.'!$D$25</c:f>
              <c:strCache>
                <c:ptCount val="1"/>
                <c:pt idx="0">
                  <c:v>gaz</c:v>
                </c:pt>
              </c:strCache>
            </c:strRef>
          </c:tx>
          <c:cat>
            <c:strRef>
              <c:f>'gm. 15-20 tys.'!$A$28:$A$37</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tys.'!$D$28:$D$37</c:f>
              <c:numCache>
                <c:formatCode>0.0</c:formatCode>
                <c:ptCount val="10"/>
                <c:pt idx="0">
                  <c:v>10.9</c:v>
                </c:pt>
                <c:pt idx="1">
                  <c:v>69.2</c:v>
                </c:pt>
                <c:pt idx="2">
                  <c:v>37.700000000000003</c:v>
                </c:pt>
                <c:pt idx="3">
                  <c:v>57.7</c:v>
                </c:pt>
                <c:pt idx="4">
                  <c:v>55.2</c:v>
                </c:pt>
                <c:pt idx="5">
                  <c:v>59.8</c:v>
                </c:pt>
                <c:pt idx="6">
                  <c:v>42.8</c:v>
                </c:pt>
                <c:pt idx="7">
                  <c:v>54.3</c:v>
                </c:pt>
                <c:pt idx="8">
                  <c:v>74.599999999999994</c:v>
                </c:pt>
                <c:pt idx="9">
                  <c:v>7.4</c:v>
                </c:pt>
              </c:numCache>
            </c:numRef>
          </c:val>
        </c:ser>
        <c:ser>
          <c:idx val="3"/>
          <c:order val="3"/>
          <c:spPr>
            <a:noFill/>
          </c:spPr>
          <c:trendline>
            <c:name>wodociąg - Wielkopolska</c:name>
            <c:spPr>
              <a:ln w="38100">
                <a:solidFill>
                  <a:schemeClr val="accent1"/>
                </a:solidFill>
              </a:ln>
              <a:effectLst>
                <a:outerShdw blurRad="63500" sx="102000" sy="102000" algn="ctr" rotWithShape="0">
                  <a:prstClr val="black">
                    <a:alpha val="40000"/>
                  </a:prstClr>
                </a:outerShdw>
              </a:effectLst>
            </c:spPr>
            <c:trendlineType val="linear"/>
          </c:trendline>
          <c:cat>
            <c:strRef>
              <c:f>'gm. 15-20 tys.'!$A$28:$A$37</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tys.'!$E$28:$E$37</c:f>
              <c:numCache>
                <c:formatCode>General</c:formatCode>
                <c:ptCount val="10"/>
                <c:pt idx="0">
                  <c:v>92.4</c:v>
                </c:pt>
                <c:pt idx="1">
                  <c:v>92.4</c:v>
                </c:pt>
                <c:pt idx="2">
                  <c:v>92.4</c:v>
                </c:pt>
                <c:pt idx="3">
                  <c:v>92.4</c:v>
                </c:pt>
                <c:pt idx="4">
                  <c:v>92.4</c:v>
                </c:pt>
                <c:pt idx="5">
                  <c:v>92.4</c:v>
                </c:pt>
                <c:pt idx="6">
                  <c:v>92.4</c:v>
                </c:pt>
                <c:pt idx="7">
                  <c:v>92.4</c:v>
                </c:pt>
                <c:pt idx="8">
                  <c:v>92.4</c:v>
                </c:pt>
                <c:pt idx="9">
                  <c:v>92.4</c:v>
                </c:pt>
              </c:numCache>
            </c:numRef>
          </c:val>
        </c:ser>
        <c:ser>
          <c:idx val="4"/>
          <c:order val="4"/>
          <c:spPr>
            <a:noFill/>
          </c:spPr>
          <c:trendline>
            <c:name>kanalizacja - Wielkopolska</c:name>
            <c:spPr>
              <a:ln w="38100">
                <a:solidFill>
                  <a:srgbClr val="C00000"/>
                </a:solidFill>
              </a:ln>
              <a:effectLst>
                <a:outerShdw blurRad="63500" sx="102000" sy="102000" algn="ctr" rotWithShape="0">
                  <a:prstClr val="black">
                    <a:alpha val="40000"/>
                  </a:prstClr>
                </a:outerShdw>
              </a:effectLst>
            </c:spPr>
            <c:trendlineType val="linear"/>
          </c:trendline>
          <c:cat>
            <c:strRef>
              <c:f>'gm. 15-20 tys.'!$A$28:$A$37</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tys.'!$F$28:$F$37</c:f>
              <c:numCache>
                <c:formatCode>General</c:formatCode>
                <c:ptCount val="10"/>
                <c:pt idx="0">
                  <c:v>60.4</c:v>
                </c:pt>
                <c:pt idx="1">
                  <c:v>60.4</c:v>
                </c:pt>
                <c:pt idx="2">
                  <c:v>60.4</c:v>
                </c:pt>
                <c:pt idx="3">
                  <c:v>60.4</c:v>
                </c:pt>
                <c:pt idx="4">
                  <c:v>60.4</c:v>
                </c:pt>
                <c:pt idx="5">
                  <c:v>60.4</c:v>
                </c:pt>
                <c:pt idx="6">
                  <c:v>60.4</c:v>
                </c:pt>
                <c:pt idx="7">
                  <c:v>60.4</c:v>
                </c:pt>
                <c:pt idx="8">
                  <c:v>60.4</c:v>
                </c:pt>
                <c:pt idx="9">
                  <c:v>60.4</c:v>
                </c:pt>
              </c:numCache>
            </c:numRef>
          </c:val>
        </c:ser>
        <c:ser>
          <c:idx val="5"/>
          <c:order val="5"/>
          <c:spPr>
            <a:noFill/>
          </c:spPr>
          <c:trendline>
            <c:name>gaz - Wielkopolska</c:name>
            <c:spPr>
              <a:ln w="38100">
                <a:solidFill>
                  <a:srgbClr val="92D050"/>
                </a:solidFill>
              </a:ln>
              <a:effectLst>
                <a:outerShdw blurRad="63500" sx="102000" sy="102000" algn="ctr" rotWithShape="0">
                  <a:prstClr val="black">
                    <a:alpha val="40000"/>
                  </a:prstClr>
                </a:outerShdw>
              </a:effectLst>
            </c:spPr>
            <c:trendlineType val="linear"/>
          </c:trendline>
          <c:cat>
            <c:strRef>
              <c:f>'gm. 15-20 tys.'!$A$28:$A$37</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tys.'!$G$28:$G$37</c:f>
              <c:numCache>
                <c:formatCode>General</c:formatCode>
                <c:ptCount val="10"/>
                <c:pt idx="0">
                  <c:v>47.7</c:v>
                </c:pt>
                <c:pt idx="1">
                  <c:v>47.7</c:v>
                </c:pt>
                <c:pt idx="2">
                  <c:v>47.7</c:v>
                </c:pt>
                <c:pt idx="3">
                  <c:v>47.7</c:v>
                </c:pt>
                <c:pt idx="4">
                  <c:v>47.7</c:v>
                </c:pt>
                <c:pt idx="5">
                  <c:v>47.7</c:v>
                </c:pt>
                <c:pt idx="6">
                  <c:v>47.7</c:v>
                </c:pt>
                <c:pt idx="7">
                  <c:v>47.7</c:v>
                </c:pt>
                <c:pt idx="8">
                  <c:v>47.7</c:v>
                </c:pt>
                <c:pt idx="9">
                  <c:v>47.7</c:v>
                </c:pt>
              </c:numCache>
            </c:numRef>
          </c:val>
        </c:ser>
        <c:gapWidth val="0"/>
        <c:axId val="145741312"/>
        <c:axId val="146067456"/>
      </c:barChart>
      <c:catAx>
        <c:axId val="145741312"/>
        <c:scaling>
          <c:orientation val="minMax"/>
        </c:scaling>
        <c:axPos val="l"/>
        <c:tickLblPos val="nextTo"/>
        <c:txPr>
          <a:bodyPr/>
          <a:lstStyle/>
          <a:p>
            <a:pPr>
              <a:defRPr sz="800"/>
            </a:pPr>
            <a:endParaRPr lang="pl-PL"/>
          </a:p>
        </c:txPr>
        <c:crossAx val="146067456"/>
        <c:crosses val="autoZero"/>
        <c:auto val="1"/>
        <c:lblAlgn val="ctr"/>
        <c:lblOffset val="100"/>
      </c:catAx>
      <c:valAx>
        <c:axId val="146067456"/>
        <c:scaling>
          <c:orientation val="minMax"/>
          <c:max val="100"/>
        </c:scaling>
        <c:axPos val="b"/>
        <c:majorGridlines/>
        <c:title>
          <c:tx>
            <c:rich>
              <a:bodyPr/>
              <a:lstStyle/>
              <a:p>
                <a:pPr>
                  <a:defRPr/>
                </a:pPr>
                <a:r>
                  <a:rPr lang="pl-PL" sz="800" b="0"/>
                  <a:t>%</a:t>
                </a:r>
              </a:p>
            </c:rich>
          </c:tx>
        </c:title>
        <c:numFmt formatCode="0" sourceLinked="0"/>
        <c:tickLblPos val="nextTo"/>
        <c:txPr>
          <a:bodyPr/>
          <a:lstStyle/>
          <a:p>
            <a:pPr>
              <a:defRPr sz="800"/>
            </a:pPr>
            <a:endParaRPr lang="pl-PL"/>
          </a:p>
        </c:txPr>
        <c:crossAx val="145741312"/>
        <c:crosses val="autoZero"/>
        <c:crossBetween val="between"/>
        <c:majorUnit val="20"/>
      </c:valAx>
      <c:spPr>
        <a:solidFill>
          <a:sysClr val="window" lastClr="FFFFFF">
            <a:lumMod val="95000"/>
          </a:sysClr>
        </a:solidFill>
      </c:spPr>
    </c:plotArea>
    <c:plotVisOnly val="1"/>
  </c:chart>
  <c:spPr>
    <a:solidFill>
      <a:sysClr val="window" lastClr="FFFFFF">
        <a:lumMod val="95000"/>
      </a:sysClr>
    </a:solidFill>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800"/>
            </a:pPr>
            <a:r>
              <a:rPr lang="pl-PL" sz="800" b="1" i="0" baseline="0"/>
              <a:t>Aglomeracja poznańska - ludność obsługiwana przez oczyszczalnie ścieków w % ogólnej liczby ludności w 2009 r.</a:t>
            </a:r>
            <a:endParaRPr lang="pl-PL" sz="800"/>
          </a:p>
        </c:rich>
      </c:tx>
      <c:layout>
        <c:manualLayout>
          <c:xMode val="edge"/>
          <c:yMode val="edge"/>
          <c:x val="9.8528629740715565E-2"/>
          <c:y val="0"/>
        </c:manualLayout>
      </c:layout>
    </c:title>
    <c:plotArea>
      <c:layout>
        <c:manualLayout>
          <c:layoutTarget val="inner"/>
          <c:xMode val="edge"/>
          <c:yMode val="edge"/>
          <c:x val="0.30096580007843482"/>
          <c:y val="8.4011376375963745E-2"/>
          <c:w val="0.65721490651361381"/>
          <c:h val="0.77607199018864492"/>
        </c:manualLayout>
      </c:layout>
      <c:barChart>
        <c:barDir val="bar"/>
        <c:grouping val="clustered"/>
        <c:ser>
          <c:idx val="0"/>
          <c:order val="0"/>
          <c:cat>
            <c:strRef>
              <c:f>aglomeracja!$A$120:$A$140</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aglomeracja!$E$90:$E$110</c:f>
              <c:numCache>
                <c:formatCode>0.0</c:formatCode>
                <c:ptCount val="21"/>
                <c:pt idx="0">
                  <c:v>34.848654082430244</c:v>
                </c:pt>
                <c:pt idx="1">
                  <c:v>53.369740598237144</c:v>
                </c:pt>
                <c:pt idx="2">
                  <c:v>60.969387755101998</c:v>
                </c:pt>
                <c:pt idx="3">
                  <c:v>67.477806788511757</c:v>
                </c:pt>
                <c:pt idx="4">
                  <c:v>35.563990428253156</c:v>
                </c:pt>
                <c:pt idx="5">
                  <c:v>70.30053034767235</c:v>
                </c:pt>
                <c:pt idx="6">
                  <c:v>53.284927977514926</c:v>
                </c:pt>
                <c:pt idx="7">
                  <c:v>13.310011660836249</c:v>
                </c:pt>
                <c:pt idx="8">
                  <c:v>59.824368825466394</c:v>
                </c:pt>
                <c:pt idx="9">
                  <c:v>67.376969104896759</c:v>
                </c:pt>
                <c:pt idx="10">
                  <c:v>41.494023904382445</c:v>
                </c:pt>
                <c:pt idx="11">
                  <c:v>48.442776735459667</c:v>
                </c:pt>
                <c:pt idx="12">
                  <c:v>62.348302839894053</c:v>
                </c:pt>
                <c:pt idx="13">
                  <c:v>46.00682593856655</c:v>
                </c:pt>
                <c:pt idx="14">
                  <c:v>60.369451808774478</c:v>
                </c:pt>
                <c:pt idx="15">
                  <c:v>60.249307479224044</c:v>
                </c:pt>
                <c:pt idx="16">
                  <c:v>46.725927936486563</c:v>
                </c:pt>
                <c:pt idx="17">
                  <c:v>67.077854067264056</c:v>
                </c:pt>
                <c:pt idx="18">
                  <c:v>69.996198441361727</c:v>
                </c:pt>
                <c:pt idx="19">
                  <c:v>83.689950303697529</c:v>
                </c:pt>
                <c:pt idx="20">
                  <c:v>88.95773949683975</c:v>
                </c:pt>
              </c:numCache>
            </c:numRef>
          </c:val>
        </c:ser>
        <c:ser>
          <c:idx val="1"/>
          <c:order val="1"/>
          <c:spPr>
            <a:noFill/>
          </c:spPr>
          <c:trendline>
            <c:name>Wielkopolska</c:name>
            <c:spPr>
              <a:ln w="25400">
                <a:solidFill>
                  <a:srgbClr val="C00000"/>
                </a:solidFill>
              </a:ln>
            </c:spPr>
            <c:trendlineType val="linear"/>
          </c:trendline>
          <c:cat>
            <c:strRef>
              <c:f>aglomeracja!$A$120:$A$140</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aglomeracja!$F$90:$F$110</c:f>
              <c:numCache>
                <c:formatCode>0.0</c:formatCode>
                <c:ptCount val="21"/>
                <c:pt idx="0">
                  <c:v>62.4</c:v>
                </c:pt>
                <c:pt idx="1">
                  <c:v>62.4</c:v>
                </c:pt>
                <c:pt idx="2">
                  <c:v>62.4</c:v>
                </c:pt>
                <c:pt idx="3">
                  <c:v>62.4</c:v>
                </c:pt>
                <c:pt idx="4">
                  <c:v>62.4</c:v>
                </c:pt>
                <c:pt idx="5">
                  <c:v>62.4</c:v>
                </c:pt>
                <c:pt idx="6">
                  <c:v>62.4</c:v>
                </c:pt>
                <c:pt idx="7">
                  <c:v>62.4</c:v>
                </c:pt>
                <c:pt idx="8">
                  <c:v>62.4</c:v>
                </c:pt>
                <c:pt idx="9">
                  <c:v>62.4</c:v>
                </c:pt>
                <c:pt idx="10">
                  <c:v>62.4</c:v>
                </c:pt>
                <c:pt idx="11">
                  <c:v>62.4</c:v>
                </c:pt>
                <c:pt idx="12">
                  <c:v>62.4</c:v>
                </c:pt>
                <c:pt idx="13">
                  <c:v>62.4</c:v>
                </c:pt>
                <c:pt idx="14">
                  <c:v>62.4</c:v>
                </c:pt>
                <c:pt idx="15">
                  <c:v>62.4</c:v>
                </c:pt>
                <c:pt idx="16">
                  <c:v>62.4</c:v>
                </c:pt>
                <c:pt idx="17">
                  <c:v>62.4</c:v>
                </c:pt>
                <c:pt idx="18">
                  <c:v>62.4</c:v>
                </c:pt>
                <c:pt idx="19">
                  <c:v>62.4</c:v>
                </c:pt>
                <c:pt idx="20">
                  <c:v>62.4</c:v>
                </c:pt>
              </c:numCache>
            </c:numRef>
          </c:val>
        </c:ser>
        <c:gapWidth val="0"/>
        <c:axId val="146915328"/>
        <c:axId val="146916864"/>
      </c:barChart>
      <c:catAx>
        <c:axId val="146915328"/>
        <c:scaling>
          <c:orientation val="minMax"/>
        </c:scaling>
        <c:axPos val="l"/>
        <c:tickLblPos val="nextTo"/>
        <c:txPr>
          <a:bodyPr/>
          <a:lstStyle/>
          <a:p>
            <a:pPr>
              <a:defRPr sz="800"/>
            </a:pPr>
            <a:endParaRPr lang="pl-PL"/>
          </a:p>
        </c:txPr>
        <c:crossAx val="146916864"/>
        <c:crosses val="autoZero"/>
        <c:auto val="1"/>
        <c:lblAlgn val="ctr"/>
        <c:lblOffset val="100"/>
      </c:catAx>
      <c:valAx>
        <c:axId val="146916864"/>
        <c:scaling>
          <c:orientation val="minMax"/>
          <c:max val="90"/>
        </c:scaling>
        <c:axPos val="b"/>
        <c:majorGridlines/>
        <c:minorGridlines/>
        <c:title>
          <c:tx>
            <c:rich>
              <a:bodyPr/>
              <a:lstStyle/>
              <a:p>
                <a:pPr>
                  <a:defRPr/>
                </a:pPr>
                <a:r>
                  <a:rPr lang="pl-PL" sz="800" b="0"/>
                  <a:t>%</a:t>
                </a:r>
              </a:p>
            </c:rich>
          </c:tx>
          <c:layout>
            <c:manualLayout>
              <c:xMode val="edge"/>
              <c:yMode val="edge"/>
              <c:x val="0.90821358865718649"/>
              <c:y val="0.93749413750468524"/>
            </c:manualLayout>
          </c:layout>
        </c:title>
        <c:numFmt formatCode="0" sourceLinked="0"/>
        <c:tickLblPos val="nextTo"/>
        <c:txPr>
          <a:bodyPr/>
          <a:lstStyle/>
          <a:p>
            <a:pPr>
              <a:defRPr sz="800"/>
            </a:pPr>
            <a:endParaRPr lang="pl-PL"/>
          </a:p>
        </c:txPr>
        <c:crossAx val="146915328"/>
        <c:crosses val="autoZero"/>
        <c:crossBetween val="between"/>
        <c:majorUnit val="10"/>
        <c:minorUnit val="5"/>
      </c:valAx>
      <c:spPr>
        <a:solidFill>
          <a:schemeClr val="bg1">
            <a:lumMod val="95000"/>
          </a:schemeClr>
        </a:solidFill>
      </c:spPr>
    </c:plotArea>
    <c:legend>
      <c:legendPos val="b"/>
      <c:legendEntry>
        <c:idx val="1"/>
        <c:delete val="1"/>
      </c:legendEntry>
      <c:legendEntry>
        <c:idx val="0"/>
        <c:delete val="1"/>
      </c:legendEntry>
      <c:txPr>
        <a:bodyPr/>
        <a:lstStyle/>
        <a:p>
          <a:pPr>
            <a:defRPr sz="800"/>
          </a:pPr>
          <a:endParaRPr lang="pl-PL"/>
        </a:p>
      </c:txPr>
    </c:legend>
    <c:plotVisOnly val="1"/>
  </c:chart>
  <c:spPr>
    <a:solidFill>
      <a:schemeClr val="bg1">
        <a:lumMod val="95000"/>
      </a:schemeClr>
    </a:solidFill>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900"/>
            </a:pPr>
            <a:r>
              <a:rPr lang="pl-PL" sz="900"/>
              <a:t>Wybrane gminy miejsko-wiejskie o porównywalnej wielkości</a:t>
            </a:r>
            <a:r>
              <a:rPr lang="pl-PL" sz="900" baseline="0"/>
              <a:t> - l</a:t>
            </a:r>
            <a:r>
              <a:rPr lang="pl-PL" sz="900"/>
              <a:t>udność korzystająca z oczyszczalni ścieków w % ogólnej liczby ludności w 2009 r.</a:t>
            </a:r>
          </a:p>
        </c:rich>
      </c:tx>
      <c:layout>
        <c:manualLayout>
          <c:xMode val="edge"/>
          <c:yMode val="edge"/>
          <c:x val="0.10541174720096062"/>
          <c:y val="0"/>
        </c:manualLayout>
      </c:layout>
    </c:title>
    <c:plotArea>
      <c:layout>
        <c:manualLayout>
          <c:layoutTarget val="inner"/>
          <c:xMode val="edge"/>
          <c:yMode val="edge"/>
          <c:x val="0.41316328877844488"/>
          <c:y val="0.16819735308583272"/>
          <c:w val="0.52122806282435952"/>
          <c:h val="0.69492344143484863"/>
        </c:manualLayout>
      </c:layout>
      <c:barChart>
        <c:barDir val="bar"/>
        <c:grouping val="clustered"/>
        <c:ser>
          <c:idx val="0"/>
          <c:order val="0"/>
          <c:cat>
            <c:strRef>
              <c:f>'gm. 15-20 tys.'!$A$45:$A$54</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tys.'!$D$45:$D$54</c:f>
              <c:numCache>
                <c:formatCode>0.0</c:formatCode>
                <c:ptCount val="10"/>
                <c:pt idx="0">
                  <c:v>32.899065666535073</c:v>
                </c:pt>
                <c:pt idx="1">
                  <c:v>65.876152832671551</c:v>
                </c:pt>
                <c:pt idx="2">
                  <c:v>35.911759676224094</c:v>
                </c:pt>
                <c:pt idx="3">
                  <c:v>91.824206866579658</c:v>
                </c:pt>
                <c:pt idx="4">
                  <c:v>32.364513263104456</c:v>
                </c:pt>
                <c:pt idx="5">
                  <c:v>48.665262678581612</c:v>
                </c:pt>
                <c:pt idx="6">
                  <c:v>67.376969104896759</c:v>
                </c:pt>
                <c:pt idx="7">
                  <c:v>62.348302839894053</c:v>
                </c:pt>
                <c:pt idx="8">
                  <c:v>46.00682593856655</c:v>
                </c:pt>
                <c:pt idx="9">
                  <c:v>24.958668870993016</c:v>
                </c:pt>
              </c:numCache>
            </c:numRef>
          </c:val>
        </c:ser>
        <c:ser>
          <c:idx val="1"/>
          <c:order val="1"/>
          <c:spPr>
            <a:noFill/>
          </c:spPr>
          <c:trendline>
            <c:name>Wielkopolska</c:name>
            <c:spPr>
              <a:ln w="25400">
                <a:solidFill>
                  <a:srgbClr val="C00000"/>
                </a:solidFill>
              </a:ln>
            </c:spPr>
            <c:trendlineType val="linear"/>
          </c:trendline>
          <c:cat>
            <c:strRef>
              <c:f>'gm. 15-20 tys.'!$A$45:$A$54</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tys.'!$E$45:$E$54</c:f>
              <c:numCache>
                <c:formatCode>General</c:formatCode>
                <c:ptCount val="10"/>
                <c:pt idx="0">
                  <c:v>62.4</c:v>
                </c:pt>
                <c:pt idx="1">
                  <c:v>62.4</c:v>
                </c:pt>
                <c:pt idx="2">
                  <c:v>62.4</c:v>
                </c:pt>
                <c:pt idx="3">
                  <c:v>62.4</c:v>
                </c:pt>
                <c:pt idx="4">
                  <c:v>62.4</c:v>
                </c:pt>
                <c:pt idx="5">
                  <c:v>62.4</c:v>
                </c:pt>
                <c:pt idx="6">
                  <c:v>62.4</c:v>
                </c:pt>
                <c:pt idx="7">
                  <c:v>62.4</c:v>
                </c:pt>
                <c:pt idx="8">
                  <c:v>62.4</c:v>
                </c:pt>
                <c:pt idx="9">
                  <c:v>62.4</c:v>
                </c:pt>
              </c:numCache>
            </c:numRef>
          </c:val>
        </c:ser>
        <c:gapWidth val="0"/>
        <c:axId val="148743680"/>
        <c:axId val="148745600"/>
      </c:barChart>
      <c:catAx>
        <c:axId val="148743680"/>
        <c:scaling>
          <c:orientation val="minMax"/>
        </c:scaling>
        <c:axPos val="l"/>
        <c:tickLblPos val="nextTo"/>
        <c:txPr>
          <a:bodyPr/>
          <a:lstStyle/>
          <a:p>
            <a:pPr>
              <a:defRPr sz="800"/>
            </a:pPr>
            <a:endParaRPr lang="pl-PL"/>
          </a:p>
        </c:txPr>
        <c:crossAx val="148745600"/>
        <c:crosses val="autoZero"/>
        <c:auto val="1"/>
        <c:lblAlgn val="ctr"/>
        <c:lblOffset val="100"/>
      </c:catAx>
      <c:valAx>
        <c:axId val="148745600"/>
        <c:scaling>
          <c:orientation val="minMax"/>
        </c:scaling>
        <c:axPos val="b"/>
        <c:majorGridlines/>
        <c:title>
          <c:tx>
            <c:rich>
              <a:bodyPr/>
              <a:lstStyle/>
              <a:p>
                <a:pPr>
                  <a:defRPr/>
                </a:pPr>
                <a:r>
                  <a:rPr lang="pl-PL" sz="800"/>
                  <a:t>%</a:t>
                </a:r>
              </a:p>
            </c:rich>
          </c:tx>
          <c:layout>
            <c:manualLayout>
              <c:xMode val="edge"/>
              <c:yMode val="edge"/>
              <c:x val="0.91030158084907786"/>
              <c:y val="0.9165395047276732"/>
            </c:manualLayout>
          </c:layout>
        </c:title>
        <c:numFmt formatCode="0" sourceLinked="0"/>
        <c:tickLblPos val="nextTo"/>
        <c:txPr>
          <a:bodyPr/>
          <a:lstStyle/>
          <a:p>
            <a:pPr>
              <a:defRPr sz="800"/>
            </a:pPr>
            <a:endParaRPr lang="pl-PL"/>
          </a:p>
        </c:txPr>
        <c:crossAx val="148743680"/>
        <c:crosses val="autoZero"/>
        <c:crossBetween val="between"/>
        <c:majorUnit val="10"/>
      </c:valAx>
      <c:spPr>
        <a:solidFill>
          <a:sysClr val="window" lastClr="FFFFFF">
            <a:lumMod val="95000"/>
          </a:sysClr>
        </a:solidFill>
      </c:spPr>
    </c:plotArea>
    <c:legend>
      <c:legendPos val="b"/>
      <c:legendEntry>
        <c:idx val="1"/>
        <c:delete val="1"/>
      </c:legendEntry>
      <c:legendEntry>
        <c:idx val="0"/>
        <c:delete val="1"/>
      </c:legendEntry>
      <c:txPr>
        <a:bodyPr/>
        <a:lstStyle/>
        <a:p>
          <a:pPr>
            <a:defRPr sz="900"/>
          </a:pPr>
          <a:endParaRPr lang="pl-PL"/>
        </a:p>
      </c:txPr>
    </c:legend>
    <c:plotVisOnly val="1"/>
  </c:chart>
  <c:spPr>
    <a:solidFill>
      <a:schemeClr val="bg1">
        <a:lumMod val="95000"/>
      </a:schemeClr>
    </a:solid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en-US" sz="1000"/>
              <a:t>Ruch naturalny</a:t>
            </a:r>
            <a:r>
              <a:rPr lang="pl-PL" sz="1000"/>
              <a:t> i migracje </a:t>
            </a:r>
            <a:r>
              <a:rPr lang="en-US" sz="1000"/>
              <a:t>w </a:t>
            </a:r>
            <a:r>
              <a:rPr lang="pl-PL" sz="1000"/>
              <a:t>gminie Pobiedziska</a:t>
            </a:r>
            <a:br>
              <a:rPr lang="pl-PL" sz="1000"/>
            </a:br>
            <a:r>
              <a:rPr lang="en-US" sz="1000"/>
              <a:t> w latach 2003-2010</a:t>
            </a:r>
          </a:p>
        </c:rich>
      </c:tx>
      <c:layout>
        <c:manualLayout>
          <c:xMode val="edge"/>
          <c:yMode val="edge"/>
          <c:x val="0.1945668051605188"/>
          <c:y val="0"/>
        </c:manualLayout>
      </c:layout>
    </c:title>
    <c:plotArea>
      <c:layout>
        <c:manualLayout>
          <c:layoutTarget val="inner"/>
          <c:xMode val="edge"/>
          <c:yMode val="edge"/>
          <c:x val="0.1227032673996999"/>
          <c:y val="0.13577166682157985"/>
          <c:w val="0.73639017479776758"/>
          <c:h val="0.77704219835083865"/>
        </c:manualLayout>
      </c:layout>
      <c:barChart>
        <c:barDir val="col"/>
        <c:grouping val="clustered"/>
        <c:ser>
          <c:idx val="0"/>
          <c:order val="0"/>
          <c:tx>
            <c:strRef>
              <c:f>'Dane wg podgr. cech'!$L$98</c:f>
              <c:strCache>
                <c:ptCount val="1"/>
                <c:pt idx="0">
                  <c:v>2003</c:v>
                </c:pt>
              </c:strCache>
            </c:strRef>
          </c:tx>
          <c:cat>
            <c:strRef>
              <c:f>('Dane wg podgr. cech'!$K$99;'Dane wg podgr. cech'!$K$101;'Dane wg podgr. cech'!$D$105:$S$105;'Dane wg podgr. cech'!$D$111:$S$111)</c:f>
              <c:strCache>
                <c:ptCount val="4"/>
                <c:pt idx="0">
                  <c:v>urodzenia żywe</c:v>
                </c:pt>
                <c:pt idx="1">
                  <c:v>zgony</c:v>
                </c:pt>
                <c:pt idx="2">
                  <c:v>przyrost naturalny</c:v>
                </c:pt>
                <c:pt idx="3">
                  <c:v>saldo migracji</c:v>
                </c:pt>
              </c:strCache>
            </c:strRef>
          </c:cat>
          <c:val>
            <c:numRef>
              <c:f>('Dane wg podgr. cech'!$L$99;'Dane wg podgr. cech'!$L$101;'Dane wg podgr. cech'!$L$109;'Dane wg podgr. cech'!$L$115)</c:f>
              <c:numCache>
                <c:formatCode>General</c:formatCode>
                <c:ptCount val="4"/>
                <c:pt idx="0">
                  <c:v>135</c:v>
                </c:pt>
                <c:pt idx="1">
                  <c:v>143</c:v>
                </c:pt>
                <c:pt idx="2">
                  <c:v>-8</c:v>
                </c:pt>
                <c:pt idx="3">
                  <c:v>223</c:v>
                </c:pt>
              </c:numCache>
            </c:numRef>
          </c:val>
        </c:ser>
        <c:ser>
          <c:idx val="1"/>
          <c:order val="1"/>
          <c:tx>
            <c:strRef>
              <c:f>'Dane wg podgr. cech'!$M$98</c:f>
              <c:strCache>
                <c:ptCount val="1"/>
                <c:pt idx="0">
                  <c:v>2004</c:v>
                </c:pt>
              </c:strCache>
            </c:strRef>
          </c:tx>
          <c:cat>
            <c:strRef>
              <c:f>('Dane wg podgr. cech'!$K$99;'Dane wg podgr. cech'!$K$101;'Dane wg podgr. cech'!$D$105:$S$105;'Dane wg podgr. cech'!$D$111:$S$111)</c:f>
              <c:strCache>
                <c:ptCount val="4"/>
                <c:pt idx="0">
                  <c:v>urodzenia żywe</c:v>
                </c:pt>
                <c:pt idx="1">
                  <c:v>zgony</c:v>
                </c:pt>
                <c:pt idx="2">
                  <c:v>przyrost naturalny</c:v>
                </c:pt>
                <c:pt idx="3">
                  <c:v>saldo migracji</c:v>
                </c:pt>
              </c:strCache>
            </c:strRef>
          </c:cat>
          <c:val>
            <c:numRef>
              <c:f>('Dane wg podgr. cech'!$M$99;'Dane wg podgr. cech'!$M$101;'Dane wg podgr. cech'!$M$109;'Dane wg podgr. cech'!$M$115)</c:f>
              <c:numCache>
                <c:formatCode>General</c:formatCode>
                <c:ptCount val="4"/>
                <c:pt idx="0">
                  <c:v>176</c:v>
                </c:pt>
                <c:pt idx="1">
                  <c:v>133</c:v>
                </c:pt>
                <c:pt idx="2">
                  <c:v>43</c:v>
                </c:pt>
                <c:pt idx="3">
                  <c:v>280</c:v>
                </c:pt>
              </c:numCache>
            </c:numRef>
          </c:val>
        </c:ser>
        <c:ser>
          <c:idx val="2"/>
          <c:order val="2"/>
          <c:tx>
            <c:strRef>
              <c:f>'Dane wg podgr. cech'!$N$98</c:f>
              <c:strCache>
                <c:ptCount val="1"/>
                <c:pt idx="0">
                  <c:v>2005</c:v>
                </c:pt>
              </c:strCache>
            </c:strRef>
          </c:tx>
          <c:cat>
            <c:strRef>
              <c:f>('Dane wg podgr. cech'!$K$99;'Dane wg podgr. cech'!$K$101;'Dane wg podgr. cech'!$D$105:$S$105;'Dane wg podgr. cech'!$D$111:$S$111)</c:f>
              <c:strCache>
                <c:ptCount val="4"/>
                <c:pt idx="0">
                  <c:v>urodzenia żywe</c:v>
                </c:pt>
                <c:pt idx="1">
                  <c:v>zgony</c:v>
                </c:pt>
                <c:pt idx="2">
                  <c:v>przyrost naturalny</c:v>
                </c:pt>
                <c:pt idx="3">
                  <c:v>saldo migracji</c:v>
                </c:pt>
              </c:strCache>
            </c:strRef>
          </c:cat>
          <c:val>
            <c:numRef>
              <c:f>('Dane wg podgr. cech'!$N$99;'Dane wg podgr. cech'!$N$101;'Dane wg podgr. cech'!$N$109;'Dane wg podgr. cech'!$N$115)</c:f>
              <c:numCache>
                <c:formatCode>General</c:formatCode>
                <c:ptCount val="4"/>
                <c:pt idx="0">
                  <c:v>168</c:v>
                </c:pt>
                <c:pt idx="1">
                  <c:v>131</c:v>
                </c:pt>
                <c:pt idx="2">
                  <c:v>37</c:v>
                </c:pt>
                <c:pt idx="3">
                  <c:v>248</c:v>
                </c:pt>
              </c:numCache>
            </c:numRef>
          </c:val>
        </c:ser>
        <c:ser>
          <c:idx val="3"/>
          <c:order val="3"/>
          <c:tx>
            <c:strRef>
              <c:f>'Dane wg podgr. cech'!$O$98</c:f>
              <c:strCache>
                <c:ptCount val="1"/>
                <c:pt idx="0">
                  <c:v>2006</c:v>
                </c:pt>
              </c:strCache>
            </c:strRef>
          </c:tx>
          <c:cat>
            <c:strRef>
              <c:f>('Dane wg podgr. cech'!$K$99;'Dane wg podgr. cech'!$K$101;'Dane wg podgr. cech'!$D$105:$S$105;'Dane wg podgr. cech'!$D$111:$S$111)</c:f>
              <c:strCache>
                <c:ptCount val="4"/>
                <c:pt idx="0">
                  <c:v>urodzenia żywe</c:v>
                </c:pt>
                <c:pt idx="1">
                  <c:v>zgony</c:v>
                </c:pt>
                <c:pt idx="2">
                  <c:v>przyrost naturalny</c:v>
                </c:pt>
                <c:pt idx="3">
                  <c:v>saldo migracji</c:v>
                </c:pt>
              </c:strCache>
            </c:strRef>
          </c:cat>
          <c:val>
            <c:numRef>
              <c:f>('Dane wg podgr. cech'!$O$99;'Dane wg podgr. cech'!$O$101;'Dane wg podgr. cech'!$O$109;'Dane wg podgr. cech'!$O$115)</c:f>
              <c:numCache>
                <c:formatCode>General</c:formatCode>
                <c:ptCount val="4"/>
                <c:pt idx="0">
                  <c:v>155</c:v>
                </c:pt>
                <c:pt idx="1">
                  <c:v>145</c:v>
                </c:pt>
                <c:pt idx="2">
                  <c:v>10</c:v>
                </c:pt>
                <c:pt idx="3">
                  <c:v>275</c:v>
                </c:pt>
              </c:numCache>
            </c:numRef>
          </c:val>
        </c:ser>
        <c:ser>
          <c:idx val="4"/>
          <c:order val="4"/>
          <c:tx>
            <c:strRef>
              <c:f>'Dane wg podgr. cech'!$P$98</c:f>
              <c:strCache>
                <c:ptCount val="1"/>
                <c:pt idx="0">
                  <c:v>2007</c:v>
                </c:pt>
              </c:strCache>
            </c:strRef>
          </c:tx>
          <c:cat>
            <c:strRef>
              <c:f>('Dane wg podgr. cech'!$K$99;'Dane wg podgr. cech'!$K$101;'Dane wg podgr. cech'!$D$105:$S$105;'Dane wg podgr. cech'!$D$111:$S$111)</c:f>
              <c:strCache>
                <c:ptCount val="4"/>
                <c:pt idx="0">
                  <c:v>urodzenia żywe</c:v>
                </c:pt>
                <c:pt idx="1">
                  <c:v>zgony</c:v>
                </c:pt>
                <c:pt idx="2">
                  <c:v>przyrost naturalny</c:v>
                </c:pt>
                <c:pt idx="3">
                  <c:v>saldo migracji</c:v>
                </c:pt>
              </c:strCache>
            </c:strRef>
          </c:cat>
          <c:val>
            <c:numRef>
              <c:f>('Dane wg podgr. cech'!$P$99;'Dane wg podgr. cech'!$P$101;'Dane wg podgr. cech'!$P$109;'Dane wg podgr. cech'!$P$115)</c:f>
              <c:numCache>
                <c:formatCode>General</c:formatCode>
                <c:ptCount val="4"/>
                <c:pt idx="0">
                  <c:v>185</c:v>
                </c:pt>
                <c:pt idx="1">
                  <c:v>147</c:v>
                </c:pt>
                <c:pt idx="2">
                  <c:v>38</c:v>
                </c:pt>
                <c:pt idx="3">
                  <c:v>386</c:v>
                </c:pt>
              </c:numCache>
            </c:numRef>
          </c:val>
        </c:ser>
        <c:ser>
          <c:idx val="5"/>
          <c:order val="5"/>
          <c:tx>
            <c:strRef>
              <c:f>'Dane wg podgr. cech'!$Q$98</c:f>
              <c:strCache>
                <c:ptCount val="1"/>
                <c:pt idx="0">
                  <c:v>2008</c:v>
                </c:pt>
              </c:strCache>
            </c:strRef>
          </c:tx>
          <c:cat>
            <c:strRef>
              <c:f>('Dane wg podgr. cech'!$K$99;'Dane wg podgr. cech'!$K$101;'Dane wg podgr. cech'!$D$105:$S$105;'Dane wg podgr. cech'!$D$111:$S$111)</c:f>
              <c:strCache>
                <c:ptCount val="4"/>
                <c:pt idx="0">
                  <c:v>urodzenia żywe</c:v>
                </c:pt>
                <c:pt idx="1">
                  <c:v>zgony</c:v>
                </c:pt>
                <c:pt idx="2">
                  <c:v>przyrost naturalny</c:v>
                </c:pt>
                <c:pt idx="3">
                  <c:v>saldo migracji</c:v>
                </c:pt>
              </c:strCache>
            </c:strRef>
          </c:cat>
          <c:val>
            <c:numRef>
              <c:f>('Dane wg podgr. cech'!$Q$99;'Dane wg podgr. cech'!$Q$101;'Dane wg podgr. cech'!$Q$109;'Dane wg podgr. cech'!$Q$115)</c:f>
              <c:numCache>
                <c:formatCode>General</c:formatCode>
                <c:ptCount val="4"/>
                <c:pt idx="0">
                  <c:v>202</c:v>
                </c:pt>
                <c:pt idx="1">
                  <c:v>146</c:v>
                </c:pt>
                <c:pt idx="2">
                  <c:v>56</c:v>
                </c:pt>
                <c:pt idx="3">
                  <c:v>302</c:v>
                </c:pt>
              </c:numCache>
            </c:numRef>
          </c:val>
        </c:ser>
        <c:ser>
          <c:idx val="6"/>
          <c:order val="6"/>
          <c:tx>
            <c:strRef>
              <c:f>'Dane wg podgr. cech'!$R$98</c:f>
              <c:strCache>
                <c:ptCount val="1"/>
                <c:pt idx="0">
                  <c:v>2009</c:v>
                </c:pt>
              </c:strCache>
            </c:strRef>
          </c:tx>
          <c:cat>
            <c:strRef>
              <c:f>('Dane wg podgr. cech'!$K$99;'Dane wg podgr. cech'!$K$101;'Dane wg podgr. cech'!$D$105:$S$105;'Dane wg podgr. cech'!$D$111:$S$111)</c:f>
              <c:strCache>
                <c:ptCount val="4"/>
                <c:pt idx="0">
                  <c:v>urodzenia żywe</c:v>
                </c:pt>
                <c:pt idx="1">
                  <c:v>zgony</c:v>
                </c:pt>
                <c:pt idx="2">
                  <c:v>przyrost naturalny</c:v>
                </c:pt>
                <c:pt idx="3">
                  <c:v>saldo migracji</c:v>
                </c:pt>
              </c:strCache>
            </c:strRef>
          </c:cat>
          <c:val>
            <c:numRef>
              <c:f>('Dane wg podgr. cech'!$R$99;'Dane wg podgr. cech'!$R$101;'Dane wg podgr. cech'!$R$109;'Dane wg podgr. cech'!$R$115)</c:f>
              <c:numCache>
                <c:formatCode>General</c:formatCode>
                <c:ptCount val="4"/>
                <c:pt idx="0">
                  <c:v>209</c:v>
                </c:pt>
                <c:pt idx="1">
                  <c:v>140</c:v>
                </c:pt>
                <c:pt idx="2">
                  <c:v>69</c:v>
                </c:pt>
                <c:pt idx="3">
                  <c:v>305</c:v>
                </c:pt>
              </c:numCache>
            </c:numRef>
          </c:val>
        </c:ser>
        <c:ser>
          <c:idx val="7"/>
          <c:order val="7"/>
          <c:tx>
            <c:strRef>
              <c:f>'Dane wg podgr. cech'!$S$98</c:f>
              <c:strCache>
                <c:ptCount val="1"/>
                <c:pt idx="0">
                  <c:v>2010</c:v>
                </c:pt>
              </c:strCache>
            </c:strRef>
          </c:tx>
          <c:cat>
            <c:strRef>
              <c:f>('Dane wg podgr. cech'!$K$99;'Dane wg podgr. cech'!$K$101;'Dane wg podgr. cech'!$D$105:$S$105;'Dane wg podgr. cech'!$D$111:$S$111)</c:f>
              <c:strCache>
                <c:ptCount val="4"/>
                <c:pt idx="0">
                  <c:v>urodzenia żywe</c:v>
                </c:pt>
                <c:pt idx="1">
                  <c:v>zgony</c:v>
                </c:pt>
                <c:pt idx="2">
                  <c:v>przyrost naturalny</c:v>
                </c:pt>
                <c:pt idx="3">
                  <c:v>saldo migracji</c:v>
                </c:pt>
              </c:strCache>
            </c:strRef>
          </c:cat>
          <c:val>
            <c:numRef>
              <c:f>('Dane wg podgr. cech'!$S$99;'Dane wg podgr. cech'!$S$101;'Dane wg podgr. cech'!$S$109;'Dane wg podgr. cech'!$S$115)</c:f>
              <c:numCache>
                <c:formatCode>General</c:formatCode>
                <c:ptCount val="4"/>
                <c:pt idx="0">
                  <c:v>226</c:v>
                </c:pt>
                <c:pt idx="1">
                  <c:v>138</c:v>
                </c:pt>
                <c:pt idx="2">
                  <c:v>88</c:v>
                </c:pt>
                <c:pt idx="3">
                  <c:v>247</c:v>
                </c:pt>
              </c:numCache>
            </c:numRef>
          </c:val>
        </c:ser>
        <c:axId val="128162048"/>
        <c:axId val="128205184"/>
      </c:barChart>
      <c:catAx>
        <c:axId val="128162048"/>
        <c:scaling>
          <c:orientation val="minMax"/>
        </c:scaling>
        <c:axPos val="b"/>
        <c:numFmt formatCode="General" sourceLinked="1"/>
        <c:majorTickMark val="none"/>
        <c:tickLblPos val="nextTo"/>
        <c:txPr>
          <a:bodyPr/>
          <a:lstStyle/>
          <a:p>
            <a:pPr>
              <a:defRPr sz="900"/>
            </a:pPr>
            <a:endParaRPr lang="pl-PL"/>
          </a:p>
        </c:txPr>
        <c:crossAx val="128205184"/>
        <c:crosses val="autoZero"/>
        <c:auto val="1"/>
        <c:lblAlgn val="ctr"/>
        <c:lblOffset val="100"/>
      </c:catAx>
      <c:valAx>
        <c:axId val="128205184"/>
        <c:scaling>
          <c:orientation val="minMax"/>
          <c:max val="400"/>
        </c:scaling>
        <c:axPos val="l"/>
        <c:majorGridlines/>
        <c:title>
          <c:tx>
            <c:rich>
              <a:bodyPr/>
              <a:lstStyle/>
              <a:p>
                <a:pPr>
                  <a:defRPr/>
                </a:pPr>
                <a:r>
                  <a:rPr lang="en-US" sz="900" b="0"/>
                  <a:t>os</a:t>
                </a:r>
                <a:r>
                  <a:rPr lang="pl-PL" sz="900" b="0"/>
                  <a:t>oby</a:t>
                </a:r>
                <a:endParaRPr lang="en-US" sz="900" b="0"/>
              </a:p>
            </c:rich>
          </c:tx>
        </c:title>
        <c:numFmt formatCode="General" sourceLinked="1"/>
        <c:majorTickMark val="none"/>
        <c:tickLblPos val="nextTo"/>
        <c:txPr>
          <a:bodyPr/>
          <a:lstStyle/>
          <a:p>
            <a:pPr>
              <a:defRPr sz="900"/>
            </a:pPr>
            <a:endParaRPr lang="pl-PL"/>
          </a:p>
        </c:txPr>
        <c:crossAx val="128162048"/>
        <c:crosses val="autoZero"/>
        <c:crossBetween val="between"/>
      </c:valAx>
      <c:spPr>
        <a:solidFill>
          <a:schemeClr val="bg1">
            <a:lumMod val="95000"/>
          </a:schemeClr>
        </a:solidFill>
      </c:spPr>
    </c:plotArea>
    <c:legend>
      <c:legendPos val="r"/>
      <c:layout>
        <c:manualLayout>
          <c:xMode val="edge"/>
          <c:yMode val="edge"/>
          <c:x val="0.87927226052953689"/>
          <c:y val="0.21515239724038615"/>
          <c:w val="0.10267568416578898"/>
          <c:h val="0.62228945748498876"/>
        </c:manualLayout>
      </c:layout>
      <c:txPr>
        <a:bodyPr/>
        <a:lstStyle/>
        <a:p>
          <a:pPr>
            <a:defRPr sz="800"/>
          </a:pPr>
          <a:endParaRPr lang="pl-PL"/>
        </a:p>
      </c:txPr>
    </c:legend>
    <c:plotVisOnly val="1"/>
    <c:dispBlanksAs val="gap"/>
  </c:chart>
  <c:spPr>
    <a:solidFill>
      <a:schemeClr val="bg1">
        <a:lumMod val="95000"/>
      </a:schemeClr>
    </a:solidFill>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000"/>
              <a:t>Dochody i wydatki budżetu gminy Pobiedziska</a:t>
            </a:r>
          </a:p>
        </c:rich>
      </c:tx>
    </c:title>
    <c:plotArea>
      <c:layout>
        <c:manualLayout>
          <c:layoutTarget val="inner"/>
          <c:xMode val="edge"/>
          <c:yMode val="edge"/>
          <c:x val="0.12374059492563477"/>
          <c:y val="0.12141332458739847"/>
          <c:w val="0.84570384951881372"/>
          <c:h val="0.65287187582426365"/>
        </c:manualLayout>
      </c:layout>
      <c:lineChart>
        <c:grouping val="standard"/>
        <c:ser>
          <c:idx val="0"/>
          <c:order val="0"/>
          <c:tx>
            <c:strRef>
              <c:f>budżet!$A$381</c:f>
              <c:strCache>
                <c:ptCount val="1"/>
                <c:pt idx="0">
                  <c:v>dochody budżetu gminy</c:v>
                </c:pt>
              </c:strCache>
            </c:strRef>
          </c:tx>
          <c:marker>
            <c:symbol val="diamond"/>
            <c:size val="7"/>
          </c:marker>
          <c:cat>
            <c:strRef>
              <c:f>budżet!$C$1:$K$1</c:f>
              <c:strCache>
                <c:ptCount val="9"/>
                <c:pt idx="0">
                  <c:v>2002</c:v>
                </c:pt>
                <c:pt idx="1">
                  <c:v>2003</c:v>
                </c:pt>
                <c:pt idx="2">
                  <c:v>2004</c:v>
                </c:pt>
                <c:pt idx="3">
                  <c:v>2005</c:v>
                </c:pt>
                <c:pt idx="4">
                  <c:v>2006</c:v>
                </c:pt>
                <c:pt idx="5">
                  <c:v>2007</c:v>
                </c:pt>
                <c:pt idx="6">
                  <c:v>2008</c:v>
                </c:pt>
                <c:pt idx="7">
                  <c:v>2009</c:v>
                </c:pt>
                <c:pt idx="8">
                  <c:v>2010</c:v>
                </c:pt>
              </c:strCache>
            </c:strRef>
          </c:cat>
          <c:val>
            <c:numRef>
              <c:f>budżet!$C$381:$K$381</c:f>
              <c:numCache>
                <c:formatCode>0.0</c:formatCode>
                <c:ptCount val="9"/>
                <c:pt idx="0">
                  <c:v>19721351</c:v>
                </c:pt>
                <c:pt idx="1">
                  <c:v>22470615</c:v>
                </c:pt>
                <c:pt idx="2">
                  <c:v>27064168</c:v>
                </c:pt>
                <c:pt idx="3">
                  <c:v>28979036</c:v>
                </c:pt>
                <c:pt idx="4">
                  <c:v>33574646.32</c:v>
                </c:pt>
                <c:pt idx="5">
                  <c:v>38240788.690000013</c:v>
                </c:pt>
                <c:pt idx="6">
                  <c:v>41544734.550000004</c:v>
                </c:pt>
                <c:pt idx="7">
                  <c:v>41960224.490000002</c:v>
                </c:pt>
                <c:pt idx="8">
                  <c:v>49406817.020000003</c:v>
                </c:pt>
              </c:numCache>
            </c:numRef>
          </c:val>
        </c:ser>
        <c:ser>
          <c:idx val="1"/>
          <c:order val="1"/>
          <c:tx>
            <c:strRef>
              <c:f>budżet!$A$382</c:f>
              <c:strCache>
                <c:ptCount val="1"/>
                <c:pt idx="0">
                  <c:v>wydatki z budżetu gminy</c:v>
                </c:pt>
              </c:strCache>
            </c:strRef>
          </c:tx>
          <c:marker>
            <c:symbol val="square"/>
            <c:size val="5"/>
          </c:marker>
          <c:cat>
            <c:strRef>
              <c:f>budżet!$C$1:$K$1</c:f>
              <c:strCache>
                <c:ptCount val="9"/>
                <c:pt idx="0">
                  <c:v>2002</c:v>
                </c:pt>
                <c:pt idx="1">
                  <c:v>2003</c:v>
                </c:pt>
                <c:pt idx="2">
                  <c:v>2004</c:v>
                </c:pt>
                <c:pt idx="3">
                  <c:v>2005</c:v>
                </c:pt>
                <c:pt idx="4">
                  <c:v>2006</c:v>
                </c:pt>
                <c:pt idx="5">
                  <c:v>2007</c:v>
                </c:pt>
                <c:pt idx="6">
                  <c:v>2008</c:v>
                </c:pt>
                <c:pt idx="7">
                  <c:v>2009</c:v>
                </c:pt>
                <c:pt idx="8">
                  <c:v>2010</c:v>
                </c:pt>
              </c:strCache>
            </c:strRef>
          </c:cat>
          <c:val>
            <c:numRef>
              <c:f>budżet!$C$382:$K$382</c:f>
              <c:numCache>
                <c:formatCode>0.00</c:formatCode>
                <c:ptCount val="9"/>
                <c:pt idx="0">
                  <c:v>19180447</c:v>
                </c:pt>
                <c:pt idx="1">
                  <c:v>22531502</c:v>
                </c:pt>
                <c:pt idx="2">
                  <c:v>25826205</c:v>
                </c:pt>
                <c:pt idx="3">
                  <c:v>31395108</c:v>
                </c:pt>
                <c:pt idx="4">
                  <c:v>35451767.900000006</c:v>
                </c:pt>
                <c:pt idx="5">
                  <c:v>39050821.25</c:v>
                </c:pt>
                <c:pt idx="6">
                  <c:v>41400196.630000003</c:v>
                </c:pt>
                <c:pt idx="7">
                  <c:v>48531675.980000004</c:v>
                </c:pt>
                <c:pt idx="8">
                  <c:v>58099576.980000004</c:v>
                </c:pt>
              </c:numCache>
            </c:numRef>
          </c:val>
        </c:ser>
        <c:marker val="1"/>
        <c:axId val="150939520"/>
        <c:axId val="151171840"/>
      </c:lineChart>
      <c:catAx>
        <c:axId val="150939520"/>
        <c:scaling>
          <c:orientation val="minMax"/>
        </c:scaling>
        <c:axPos val="b"/>
        <c:tickLblPos val="nextTo"/>
        <c:txPr>
          <a:bodyPr/>
          <a:lstStyle/>
          <a:p>
            <a:pPr>
              <a:defRPr sz="900"/>
            </a:pPr>
            <a:endParaRPr lang="pl-PL"/>
          </a:p>
        </c:txPr>
        <c:crossAx val="151171840"/>
        <c:crosses val="autoZero"/>
        <c:auto val="1"/>
        <c:lblAlgn val="ctr"/>
        <c:lblOffset val="100"/>
      </c:catAx>
      <c:valAx>
        <c:axId val="151171840"/>
        <c:scaling>
          <c:orientation val="minMax"/>
          <c:max val="65000000"/>
          <c:min val="10000000"/>
        </c:scaling>
        <c:axPos val="l"/>
        <c:majorGridlines/>
        <c:numFmt formatCode="0.0" sourceLinked="1"/>
        <c:tickLblPos val="nextTo"/>
        <c:txPr>
          <a:bodyPr/>
          <a:lstStyle/>
          <a:p>
            <a:pPr>
              <a:defRPr sz="900"/>
            </a:pPr>
            <a:endParaRPr lang="pl-PL"/>
          </a:p>
        </c:txPr>
        <c:crossAx val="150939520"/>
        <c:crosses val="autoZero"/>
        <c:crossBetween val="between"/>
        <c:majorUnit val="5000000"/>
        <c:minorUnit val="500000"/>
        <c:dispUnits>
          <c:builtInUnit val="millions"/>
          <c:dispUnitsLbl>
            <c:tx>
              <c:rich>
                <a:bodyPr/>
                <a:lstStyle/>
                <a:p>
                  <a:pPr>
                    <a:defRPr/>
                  </a:pPr>
                  <a:r>
                    <a:rPr lang="pl-PL" sz="800" b="0"/>
                    <a:t>Miliony zł</a:t>
                  </a:r>
                </a:p>
              </c:rich>
            </c:tx>
          </c:dispUnitsLbl>
        </c:dispUnits>
      </c:valAx>
      <c:spPr>
        <a:solidFill>
          <a:sysClr val="window" lastClr="FFFFFF">
            <a:lumMod val="95000"/>
          </a:sysClr>
        </a:solidFill>
      </c:spPr>
    </c:plotArea>
    <c:legend>
      <c:legendPos val="b"/>
      <c:txPr>
        <a:bodyPr/>
        <a:lstStyle/>
        <a:p>
          <a:pPr>
            <a:defRPr sz="900"/>
          </a:pPr>
          <a:endParaRPr lang="pl-PL"/>
        </a:p>
      </c:txPr>
    </c:legend>
    <c:plotVisOnly val="1"/>
  </c:chart>
  <c:spPr>
    <a:solidFill>
      <a:schemeClr val="bg1">
        <a:lumMod val="95000"/>
      </a:schemeClr>
    </a:solidFill>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000"/>
              <a:t>Struktura budżetu Gminy Pobiedziska w 2010 r.</a:t>
            </a:r>
          </a:p>
        </c:rich>
      </c:tx>
    </c:title>
    <c:plotArea>
      <c:layout>
        <c:manualLayout>
          <c:layoutTarget val="inner"/>
          <c:xMode val="edge"/>
          <c:yMode val="edge"/>
          <c:x val="0.10476978244253185"/>
          <c:y val="0.13369015102914408"/>
          <c:w val="0.59350192007524016"/>
          <c:h val="0.83580331654081308"/>
        </c:manualLayout>
      </c:layout>
      <c:pieChart>
        <c:varyColors val="1"/>
        <c:ser>
          <c:idx val="0"/>
          <c:order val="0"/>
          <c:dLbls>
            <c:dLbl>
              <c:idx val="0"/>
              <c:layout>
                <c:manualLayout>
                  <c:x val="5.6790244969378914E-2"/>
                  <c:y val="-5.6780402449693934E-3"/>
                </c:manualLayout>
              </c:layout>
              <c:showCatName val="1"/>
              <c:showPercent val="1"/>
            </c:dLbl>
            <c:dLbl>
              <c:idx val="1"/>
              <c:layout>
                <c:manualLayout>
                  <c:x val="-9.510170603674541E-3"/>
                  <c:y val="-0.21078703703704038"/>
                </c:manualLayout>
              </c:layout>
              <c:showCatName val="1"/>
              <c:showPercent val="1"/>
            </c:dLbl>
            <c:txPr>
              <a:bodyPr/>
              <a:lstStyle/>
              <a:p>
                <a:pPr>
                  <a:defRPr sz="900"/>
                </a:pPr>
                <a:endParaRPr lang="pl-PL"/>
              </a:p>
            </c:txPr>
            <c:showCatName val="1"/>
            <c:showPercent val="1"/>
            <c:showLeaderLines val="1"/>
          </c:dLbls>
          <c:cat>
            <c:strRef>
              <c:f>dane!$A$35:$A$38</c:f>
              <c:strCache>
                <c:ptCount val="4"/>
                <c:pt idx="0">
                  <c:v>dochody majątkowe</c:v>
                </c:pt>
                <c:pt idx="1">
                  <c:v>dochody bieżące</c:v>
                </c:pt>
                <c:pt idx="2">
                  <c:v>wydatki majątkowe</c:v>
                </c:pt>
                <c:pt idx="3">
                  <c:v>wydatki bieżące</c:v>
                </c:pt>
              </c:strCache>
            </c:strRef>
          </c:cat>
          <c:val>
            <c:numRef>
              <c:f>dane!$B$35:$B$38</c:f>
              <c:numCache>
                <c:formatCode>General</c:formatCode>
                <c:ptCount val="4"/>
                <c:pt idx="0">
                  <c:v>4944458.6000000006</c:v>
                </c:pt>
                <c:pt idx="1">
                  <c:v>44462358.400000006</c:v>
                </c:pt>
                <c:pt idx="2">
                  <c:v>17589997</c:v>
                </c:pt>
                <c:pt idx="3">
                  <c:v>40509580</c:v>
                </c:pt>
              </c:numCache>
            </c:numRef>
          </c:val>
        </c:ser>
        <c:dLbls>
          <c:showCatName val="1"/>
          <c:showPercent val="1"/>
        </c:dLbls>
        <c:firstSliceAng val="87"/>
      </c:pieChart>
    </c:plotArea>
    <c:plotVisOnly val="1"/>
  </c:chart>
  <c:spPr>
    <a:solidFill>
      <a:schemeClr val="bg1">
        <a:lumMod val="95000"/>
      </a:schemeClr>
    </a:solidFill>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000"/>
              <a:t>Struktura wydatków inwestycyjnych Gminy Pobiedziska</a:t>
            </a:r>
          </a:p>
        </c:rich>
      </c:tx>
    </c:title>
    <c:plotArea>
      <c:layout>
        <c:manualLayout>
          <c:layoutTarget val="inner"/>
          <c:xMode val="edge"/>
          <c:yMode val="edge"/>
          <c:x val="8.2481009318279661E-2"/>
          <c:y val="9.8135845074531713E-2"/>
          <c:w val="0.55164927300755506"/>
          <c:h val="0.82780638778922699"/>
        </c:manualLayout>
      </c:layout>
      <c:barChart>
        <c:barDir val="col"/>
        <c:grouping val="stacked"/>
        <c:ser>
          <c:idx val="0"/>
          <c:order val="0"/>
          <c:tx>
            <c:strRef>
              <c:f>budżet!$A$344</c:f>
              <c:strCache>
                <c:ptCount val="1"/>
                <c:pt idx="0">
                  <c:v>Wydatki na rolnictwo i łowiectwo</c:v>
                </c:pt>
              </c:strCache>
            </c:strRef>
          </c:tx>
          <c:cat>
            <c:strRef>
              <c:f>budżet!$H$1:$K$1</c:f>
              <c:strCache>
                <c:ptCount val="4"/>
                <c:pt idx="0">
                  <c:v>2007</c:v>
                </c:pt>
                <c:pt idx="1">
                  <c:v>2008</c:v>
                </c:pt>
                <c:pt idx="2">
                  <c:v>2009</c:v>
                </c:pt>
                <c:pt idx="3">
                  <c:v>2010</c:v>
                </c:pt>
              </c:strCache>
            </c:strRef>
          </c:cat>
          <c:val>
            <c:numRef>
              <c:f>budżet!$H$344:$K$344</c:f>
              <c:numCache>
                <c:formatCode>0</c:formatCode>
                <c:ptCount val="4"/>
                <c:pt idx="0">
                  <c:v>1883849.41</c:v>
                </c:pt>
                <c:pt idx="1">
                  <c:v>268948.09000000008</c:v>
                </c:pt>
                <c:pt idx="2">
                  <c:v>457502.05</c:v>
                </c:pt>
                <c:pt idx="3">
                  <c:v>553496.53</c:v>
                </c:pt>
              </c:numCache>
            </c:numRef>
          </c:val>
        </c:ser>
        <c:ser>
          <c:idx val="1"/>
          <c:order val="1"/>
          <c:tx>
            <c:strRef>
              <c:f>budżet!$A$345</c:f>
              <c:strCache>
                <c:ptCount val="1"/>
                <c:pt idx="0">
                  <c:v>Wydatki na transport i łączność</c:v>
                </c:pt>
              </c:strCache>
            </c:strRef>
          </c:tx>
          <c:cat>
            <c:strRef>
              <c:f>budżet!$H$1:$K$1</c:f>
              <c:strCache>
                <c:ptCount val="4"/>
                <c:pt idx="0">
                  <c:v>2007</c:v>
                </c:pt>
                <c:pt idx="1">
                  <c:v>2008</c:v>
                </c:pt>
                <c:pt idx="2">
                  <c:v>2009</c:v>
                </c:pt>
                <c:pt idx="3">
                  <c:v>2010</c:v>
                </c:pt>
              </c:strCache>
            </c:strRef>
          </c:cat>
          <c:val>
            <c:numRef>
              <c:f>budżet!$H$345:$K$345</c:f>
              <c:numCache>
                <c:formatCode>0</c:formatCode>
                <c:ptCount val="4"/>
                <c:pt idx="0">
                  <c:v>2618908.7799999998</c:v>
                </c:pt>
                <c:pt idx="1">
                  <c:v>2579824.11</c:v>
                </c:pt>
                <c:pt idx="2">
                  <c:v>2136399.21</c:v>
                </c:pt>
                <c:pt idx="3">
                  <c:v>2005759.27</c:v>
                </c:pt>
              </c:numCache>
            </c:numRef>
          </c:val>
        </c:ser>
        <c:ser>
          <c:idx val="2"/>
          <c:order val="2"/>
          <c:tx>
            <c:strRef>
              <c:f>budżet!$A$346</c:f>
              <c:strCache>
                <c:ptCount val="1"/>
                <c:pt idx="0">
                  <c:v>Wydatki na gospodarkę komunalną i ochronę środowiska</c:v>
                </c:pt>
              </c:strCache>
            </c:strRef>
          </c:tx>
          <c:cat>
            <c:strRef>
              <c:f>budżet!$H$1:$K$1</c:f>
              <c:strCache>
                <c:ptCount val="4"/>
                <c:pt idx="0">
                  <c:v>2007</c:v>
                </c:pt>
                <c:pt idx="1">
                  <c:v>2008</c:v>
                </c:pt>
                <c:pt idx="2">
                  <c:v>2009</c:v>
                </c:pt>
                <c:pt idx="3">
                  <c:v>2010</c:v>
                </c:pt>
              </c:strCache>
            </c:strRef>
          </c:cat>
          <c:val>
            <c:numRef>
              <c:f>budżet!$H$346:$K$346</c:f>
              <c:numCache>
                <c:formatCode>0</c:formatCode>
                <c:ptCount val="4"/>
                <c:pt idx="0">
                  <c:v>1122496.08</c:v>
                </c:pt>
                <c:pt idx="1">
                  <c:v>2584345.66</c:v>
                </c:pt>
                <c:pt idx="2">
                  <c:v>2678816.66</c:v>
                </c:pt>
                <c:pt idx="3">
                  <c:v>2889039.96</c:v>
                </c:pt>
              </c:numCache>
            </c:numRef>
          </c:val>
        </c:ser>
        <c:ser>
          <c:idx val="3"/>
          <c:order val="3"/>
          <c:tx>
            <c:strRef>
              <c:f>budżet!$A$347</c:f>
              <c:strCache>
                <c:ptCount val="1"/>
                <c:pt idx="0">
                  <c:v>Wydatki na gospodarkę mieszkaniową</c:v>
                </c:pt>
              </c:strCache>
            </c:strRef>
          </c:tx>
          <c:cat>
            <c:strRef>
              <c:f>budżet!$H$1:$K$1</c:f>
              <c:strCache>
                <c:ptCount val="4"/>
                <c:pt idx="0">
                  <c:v>2007</c:v>
                </c:pt>
                <c:pt idx="1">
                  <c:v>2008</c:v>
                </c:pt>
                <c:pt idx="2">
                  <c:v>2009</c:v>
                </c:pt>
                <c:pt idx="3">
                  <c:v>2010</c:v>
                </c:pt>
              </c:strCache>
            </c:strRef>
          </c:cat>
          <c:val>
            <c:numRef>
              <c:f>budżet!$H$347:$K$347</c:f>
              <c:numCache>
                <c:formatCode>0</c:formatCode>
                <c:ptCount val="4"/>
                <c:pt idx="0">
                  <c:v>898081.28999998351</c:v>
                </c:pt>
                <c:pt idx="1">
                  <c:v>995163.95000000042</c:v>
                </c:pt>
                <c:pt idx="2">
                  <c:v>1357572.1700000011</c:v>
                </c:pt>
                <c:pt idx="3">
                  <c:v>1214211.51</c:v>
                </c:pt>
              </c:numCache>
            </c:numRef>
          </c:val>
        </c:ser>
        <c:ser>
          <c:idx val="4"/>
          <c:order val="4"/>
          <c:tx>
            <c:strRef>
              <c:f>budżet!$A$348</c:f>
              <c:strCache>
                <c:ptCount val="1"/>
                <c:pt idx="0">
                  <c:v>Wydatki na oświatę i wychowanie</c:v>
                </c:pt>
              </c:strCache>
            </c:strRef>
          </c:tx>
          <c:cat>
            <c:strRef>
              <c:f>budżet!$H$1:$K$1</c:f>
              <c:strCache>
                <c:ptCount val="4"/>
                <c:pt idx="0">
                  <c:v>2007</c:v>
                </c:pt>
                <c:pt idx="1">
                  <c:v>2008</c:v>
                </c:pt>
                <c:pt idx="2">
                  <c:v>2009</c:v>
                </c:pt>
                <c:pt idx="3">
                  <c:v>2010</c:v>
                </c:pt>
              </c:strCache>
            </c:strRef>
          </c:cat>
          <c:val>
            <c:numRef>
              <c:f>budżet!$H$348:$K$348</c:f>
              <c:numCache>
                <c:formatCode>0</c:formatCode>
                <c:ptCount val="4"/>
                <c:pt idx="0">
                  <c:v>838097.57</c:v>
                </c:pt>
                <c:pt idx="1">
                  <c:v>595184.61</c:v>
                </c:pt>
                <c:pt idx="2">
                  <c:v>3572777.52</c:v>
                </c:pt>
                <c:pt idx="3">
                  <c:v>10383523.970000004</c:v>
                </c:pt>
              </c:numCache>
            </c:numRef>
          </c:val>
        </c:ser>
        <c:ser>
          <c:idx val="5"/>
          <c:order val="5"/>
          <c:tx>
            <c:strRef>
              <c:f>budżet!$A$349</c:f>
              <c:strCache>
                <c:ptCount val="1"/>
                <c:pt idx="0">
                  <c:v>Wydatki na kulturę i ochronę dziedzictwa narodowego</c:v>
                </c:pt>
              </c:strCache>
            </c:strRef>
          </c:tx>
          <c:cat>
            <c:strRef>
              <c:f>budżet!$H$1:$K$1</c:f>
              <c:strCache>
                <c:ptCount val="4"/>
                <c:pt idx="0">
                  <c:v>2007</c:v>
                </c:pt>
                <c:pt idx="1">
                  <c:v>2008</c:v>
                </c:pt>
                <c:pt idx="2">
                  <c:v>2009</c:v>
                </c:pt>
                <c:pt idx="3">
                  <c:v>2010</c:v>
                </c:pt>
              </c:strCache>
            </c:strRef>
          </c:cat>
          <c:val>
            <c:numRef>
              <c:f>budżet!$H$349:$K$349</c:f>
              <c:numCache>
                <c:formatCode>0</c:formatCode>
                <c:ptCount val="4"/>
                <c:pt idx="0">
                  <c:v>144468.4</c:v>
                </c:pt>
                <c:pt idx="1">
                  <c:v>4800</c:v>
                </c:pt>
                <c:pt idx="2">
                  <c:v>85213.23</c:v>
                </c:pt>
                <c:pt idx="3">
                  <c:v>3281.8</c:v>
                </c:pt>
              </c:numCache>
            </c:numRef>
          </c:val>
        </c:ser>
        <c:ser>
          <c:idx val="6"/>
          <c:order val="6"/>
          <c:tx>
            <c:strRef>
              <c:f>budżet!#ADR!</c:f>
              <c:strCache>
                <c:ptCount val="1"/>
                <c:pt idx="0">
                  <c:v>#REF!</c:v>
                </c:pt>
              </c:strCache>
            </c:strRef>
          </c:tx>
          <c:cat>
            <c:strRef>
              <c:f>budżet!$H$1:$K$1</c:f>
              <c:strCache>
                <c:ptCount val="4"/>
                <c:pt idx="0">
                  <c:v>2007</c:v>
                </c:pt>
                <c:pt idx="1">
                  <c:v>2008</c:v>
                </c:pt>
                <c:pt idx="2">
                  <c:v>2009</c:v>
                </c:pt>
                <c:pt idx="3">
                  <c:v>2010</c:v>
                </c:pt>
              </c:strCache>
            </c:strRef>
          </c:cat>
          <c:val>
            <c:numRef>
              <c:f>budżet!#ADR!</c:f>
              <c:numCache>
                <c:formatCode>General</c:formatCode>
                <c:ptCount val="1"/>
                <c:pt idx="0">
                  <c:v>1</c:v>
                </c:pt>
              </c:numCache>
            </c:numRef>
          </c:val>
        </c:ser>
        <c:ser>
          <c:idx val="7"/>
          <c:order val="7"/>
          <c:tx>
            <c:strRef>
              <c:f>budżet!#ADR!</c:f>
              <c:strCache>
                <c:ptCount val="1"/>
                <c:pt idx="0">
                  <c:v>#REF!</c:v>
                </c:pt>
              </c:strCache>
            </c:strRef>
          </c:tx>
          <c:cat>
            <c:strRef>
              <c:f>budżet!$H$1:$K$1</c:f>
              <c:strCache>
                <c:ptCount val="4"/>
                <c:pt idx="0">
                  <c:v>2007</c:v>
                </c:pt>
                <c:pt idx="1">
                  <c:v>2008</c:v>
                </c:pt>
                <c:pt idx="2">
                  <c:v>2009</c:v>
                </c:pt>
                <c:pt idx="3">
                  <c:v>2010</c:v>
                </c:pt>
              </c:strCache>
            </c:strRef>
          </c:cat>
          <c:val>
            <c:numRef>
              <c:f>budżet!#ADR!</c:f>
              <c:numCache>
                <c:formatCode>General</c:formatCode>
                <c:ptCount val="1"/>
                <c:pt idx="0">
                  <c:v>1</c:v>
                </c:pt>
              </c:numCache>
            </c:numRef>
          </c:val>
        </c:ser>
        <c:ser>
          <c:idx val="8"/>
          <c:order val="8"/>
          <c:tx>
            <c:strRef>
              <c:f>budżet!$A$350</c:f>
              <c:strCache>
                <c:ptCount val="1"/>
                <c:pt idx="0">
                  <c:v>Wydatki na kulturę fizyczną i sport</c:v>
                </c:pt>
              </c:strCache>
            </c:strRef>
          </c:tx>
          <c:cat>
            <c:strRef>
              <c:f>budżet!$H$1:$K$1</c:f>
              <c:strCache>
                <c:ptCount val="4"/>
                <c:pt idx="0">
                  <c:v>2007</c:v>
                </c:pt>
                <c:pt idx="1">
                  <c:v>2008</c:v>
                </c:pt>
                <c:pt idx="2">
                  <c:v>2009</c:v>
                </c:pt>
                <c:pt idx="3">
                  <c:v>2010</c:v>
                </c:pt>
              </c:strCache>
            </c:strRef>
          </c:cat>
          <c:val>
            <c:numRef>
              <c:f>budżet!$H$350:$K$350</c:f>
              <c:numCache>
                <c:formatCode>0</c:formatCode>
                <c:ptCount val="4"/>
                <c:pt idx="0">
                  <c:v>30000</c:v>
                </c:pt>
                <c:pt idx="1">
                  <c:v>772472.23</c:v>
                </c:pt>
                <c:pt idx="2">
                  <c:v>1890283.23</c:v>
                </c:pt>
                <c:pt idx="3">
                  <c:v>198650.79</c:v>
                </c:pt>
              </c:numCache>
            </c:numRef>
          </c:val>
        </c:ser>
        <c:ser>
          <c:idx val="9"/>
          <c:order val="9"/>
          <c:tx>
            <c:strRef>
              <c:f>budżet!$A$351</c:f>
              <c:strCache>
                <c:ptCount val="1"/>
                <c:pt idx="0">
                  <c:v>Wydatki na administrację publiczną</c:v>
                </c:pt>
              </c:strCache>
            </c:strRef>
          </c:tx>
          <c:cat>
            <c:strRef>
              <c:f>budżet!$H$1:$K$1</c:f>
              <c:strCache>
                <c:ptCount val="4"/>
                <c:pt idx="0">
                  <c:v>2007</c:v>
                </c:pt>
                <c:pt idx="1">
                  <c:v>2008</c:v>
                </c:pt>
                <c:pt idx="2">
                  <c:v>2009</c:v>
                </c:pt>
                <c:pt idx="3">
                  <c:v>2010</c:v>
                </c:pt>
              </c:strCache>
            </c:strRef>
          </c:cat>
          <c:val>
            <c:numRef>
              <c:f>budżet!$H$351:$K$351</c:f>
              <c:numCache>
                <c:formatCode>0</c:formatCode>
                <c:ptCount val="4"/>
                <c:pt idx="0">
                  <c:v>56331.78</c:v>
                </c:pt>
                <c:pt idx="1">
                  <c:v>99600.170000000027</c:v>
                </c:pt>
                <c:pt idx="2">
                  <c:v>126007.26</c:v>
                </c:pt>
                <c:pt idx="3">
                  <c:v>61661.450000000012</c:v>
                </c:pt>
              </c:numCache>
            </c:numRef>
          </c:val>
        </c:ser>
        <c:ser>
          <c:idx val="10"/>
          <c:order val="10"/>
          <c:tx>
            <c:strRef>
              <c:f>budżet!$A$352</c:f>
              <c:strCache>
                <c:ptCount val="1"/>
                <c:pt idx="0">
                  <c:v>Wydatki na bezpieczeństwo publiczne i ochronę przeciwpożarową</c:v>
                </c:pt>
              </c:strCache>
            </c:strRef>
          </c:tx>
          <c:cat>
            <c:strRef>
              <c:f>budżet!$H$1:$K$1</c:f>
              <c:strCache>
                <c:ptCount val="4"/>
                <c:pt idx="0">
                  <c:v>2007</c:v>
                </c:pt>
                <c:pt idx="1">
                  <c:v>2008</c:v>
                </c:pt>
                <c:pt idx="2">
                  <c:v>2009</c:v>
                </c:pt>
                <c:pt idx="3">
                  <c:v>2010</c:v>
                </c:pt>
              </c:strCache>
            </c:strRef>
          </c:cat>
          <c:val>
            <c:numRef>
              <c:f>budżet!$H$352:$K$352</c:f>
              <c:numCache>
                <c:formatCode>0</c:formatCode>
                <c:ptCount val="4"/>
                <c:pt idx="0">
                  <c:v>82301.38</c:v>
                </c:pt>
                <c:pt idx="1">
                  <c:v>46327.89</c:v>
                </c:pt>
                <c:pt idx="2">
                  <c:v>24746</c:v>
                </c:pt>
                <c:pt idx="3">
                  <c:v>77267.64</c:v>
                </c:pt>
              </c:numCache>
            </c:numRef>
          </c:val>
        </c:ser>
        <c:gapWidth val="100"/>
        <c:overlap val="100"/>
        <c:axId val="86375424"/>
        <c:axId val="96060160"/>
      </c:barChart>
      <c:catAx>
        <c:axId val="86375424"/>
        <c:scaling>
          <c:orientation val="minMax"/>
        </c:scaling>
        <c:axPos val="b"/>
        <c:tickLblPos val="nextTo"/>
        <c:txPr>
          <a:bodyPr/>
          <a:lstStyle/>
          <a:p>
            <a:pPr>
              <a:defRPr sz="800"/>
            </a:pPr>
            <a:endParaRPr lang="pl-PL"/>
          </a:p>
        </c:txPr>
        <c:crossAx val="96060160"/>
        <c:crosses val="autoZero"/>
        <c:auto val="1"/>
        <c:lblAlgn val="ctr"/>
        <c:lblOffset val="100"/>
      </c:catAx>
      <c:valAx>
        <c:axId val="96060160"/>
        <c:scaling>
          <c:orientation val="minMax"/>
          <c:max val="18000000"/>
        </c:scaling>
        <c:axPos val="l"/>
        <c:majorGridlines/>
        <c:numFmt formatCode="0" sourceLinked="1"/>
        <c:tickLblPos val="nextTo"/>
        <c:txPr>
          <a:bodyPr/>
          <a:lstStyle/>
          <a:p>
            <a:pPr>
              <a:defRPr sz="800"/>
            </a:pPr>
            <a:endParaRPr lang="pl-PL"/>
          </a:p>
        </c:txPr>
        <c:crossAx val="86375424"/>
        <c:crosses val="autoZero"/>
        <c:crossBetween val="between"/>
        <c:majorUnit val="1000000"/>
        <c:dispUnits>
          <c:builtInUnit val="millions"/>
          <c:dispUnitsLbl>
            <c:tx>
              <c:rich>
                <a:bodyPr/>
                <a:lstStyle/>
                <a:p>
                  <a:pPr>
                    <a:defRPr/>
                  </a:pPr>
                  <a:r>
                    <a:rPr lang="pl-PL" sz="800" b="0"/>
                    <a:t>Miliony zł</a:t>
                  </a:r>
                </a:p>
              </c:rich>
            </c:tx>
          </c:dispUnitsLbl>
        </c:dispUnits>
      </c:valAx>
      <c:spPr>
        <a:solidFill>
          <a:sysClr val="window" lastClr="FFFFFF">
            <a:lumMod val="95000"/>
          </a:sysClr>
        </a:solidFill>
      </c:spPr>
    </c:plotArea>
    <c:legend>
      <c:legendPos val="r"/>
      <c:legendEntry>
        <c:idx val="4"/>
        <c:delete val="1"/>
      </c:legendEntry>
      <c:legendEntry>
        <c:idx val="3"/>
        <c:delete val="1"/>
      </c:legendEntry>
      <c:txPr>
        <a:bodyPr/>
        <a:lstStyle/>
        <a:p>
          <a:pPr>
            <a:defRPr sz="800"/>
          </a:pPr>
          <a:endParaRPr lang="pl-PL"/>
        </a:p>
      </c:txPr>
    </c:legend>
    <c:plotVisOnly val="1"/>
  </c:chart>
  <c:spPr>
    <a:solidFill>
      <a:schemeClr val="bg1">
        <a:lumMod val="95000"/>
      </a:schemeClr>
    </a:solidFill>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900"/>
            </a:pPr>
            <a:r>
              <a:rPr lang="pl-PL" sz="900"/>
              <a:t>Aglomeracja poznańska - dochody i wydatki</a:t>
            </a:r>
            <a:r>
              <a:rPr lang="pl-PL" sz="900" baseline="0"/>
              <a:t> budżetu w 2010 r.</a:t>
            </a:r>
            <a:endParaRPr lang="pl-PL" sz="900"/>
          </a:p>
        </c:rich>
      </c:tx>
      <c:layout>
        <c:manualLayout>
          <c:xMode val="edge"/>
          <c:yMode val="edge"/>
          <c:x val="0.1647494918472569"/>
          <c:y val="0"/>
        </c:manualLayout>
      </c:layout>
    </c:title>
    <c:plotArea>
      <c:layout>
        <c:manualLayout>
          <c:layoutTarget val="inner"/>
          <c:xMode val="edge"/>
          <c:yMode val="edge"/>
          <c:x val="0.22709273840770094"/>
          <c:y val="7.9118754023672022E-2"/>
          <c:w val="0.71967804024496962"/>
          <c:h val="0.84445550438270689"/>
        </c:manualLayout>
      </c:layout>
      <c:barChart>
        <c:barDir val="bar"/>
        <c:grouping val="clustered"/>
        <c:ser>
          <c:idx val="0"/>
          <c:order val="0"/>
          <c:tx>
            <c:strRef>
              <c:f>aglomeracja!$B$58</c:f>
              <c:strCache>
                <c:ptCount val="1"/>
                <c:pt idx="0">
                  <c:v>Dochody na 1 mieszkańca</c:v>
                </c:pt>
              </c:strCache>
            </c:strRef>
          </c:tx>
          <c:cat>
            <c:strRef>
              <c:f>aglomeracja!$A$62:$A$82</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aglomeracja!$B$62:$B$82</c:f>
              <c:numCache>
                <c:formatCode>0.00</c:formatCode>
                <c:ptCount val="21"/>
                <c:pt idx="0">
                  <c:v>2831.55</c:v>
                </c:pt>
                <c:pt idx="1">
                  <c:v>2474.5300000000002</c:v>
                </c:pt>
                <c:pt idx="2">
                  <c:v>1987.31</c:v>
                </c:pt>
                <c:pt idx="3">
                  <c:v>2910.22</c:v>
                </c:pt>
                <c:pt idx="4">
                  <c:v>2700.98</c:v>
                </c:pt>
                <c:pt idx="5">
                  <c:v>2838.11</c:v>
                </c:pt>
                <c:pt idx="6">
                  <c:v>3140.9300000000012</c:v>
                </c:pt>
                <c:pt idx="7">
                  <c:v>2894.98</c:v>
                </c:pt>
                <c:pt idx="8">
                  <c:v>3123.8100000000022</c:v>
                </c:pt>
                <c:pt idx="9">
                  <c:v>2166.66</c:v>
                </c:pt>
                <c:pt idx="10">
                  <c:v>3594.82</c:v>
                </c:pt>
                <c:pt idx="11">
                  <c:v>2462.6999999999998</c:v>
                </c:pt>
                <c:pt idx="12">
                  <c:v>2539.08</c:v>
                </c:pt>
                <c:pt idx="13">
                  <c:v>2780.98</c:v>
                </c:pt>
                <c:pt idx="14">
                  <c:v>2585.54</c:v>
                </c:pt>
                <c:pt idx="15">
                  <c:v>2578.3500000000022</c:v>
                </c:pt>
                <c:pt idx="16">
                  <c:v>6153.9699999999993</c:v>
                </c:pt>
                <c:pt idx="17">
                  <c:v>2715.34</c:v>
                </c:pt>
                <c:pt idx="18">
                  <c:v>5922.4699999999993</c:v>
                </c:pt>
                <c:pt idx="19">
                  <c:v>2323.67</c:v>
                </c:pt>
                <c:pt idx="20">
                  <c:v>2444.94</c:v>
                </c:pt>
              </c:numCache>
            </c:numRef>
          </c:val>
        </c:ser>
        <c:ser>
          <c:idx val="1"/>
          <c:order val="1"/>
          <c:tx>
            <c:strRef>
              <c:f>aglomeracja!$C$58</c:f>
              <c:strCache>
                <c:ptCount val="1"/>
                <c:pt idx="0">
                  <c:v>Wydatki na 1 mieszkańca</c:v>
                </c:pt>
              </c:strCache>
            </c:strRef>
          </c:tx>
          <c:cat>
            <c:strRef>
              <c:f>aglomeracja!$A$62:$A$82</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aglomeracja!$C$62:$C$82</c:f>
              <c:numCache>
                <c:formatCode>0</c:formatCode>
                <c:ptCount val="21"/>
                <c:pt idx="0">
                  <c:v>3157</c:v>
                </c:pt>
                <c:pt idx="1">
                  <c:v>2970</c:v>
                </c:pt>
                <c:pt idx="2">
                  <c:v>1949</c:v>
                </c:pt>
                <c:pt idx="3">
                  <c:v>3408</c:v>
                </c:pt>
                <c:pt idx="4">
                  <c:v>3502</c:v>
                </c:pt>
                <c:pt idx="5">
                  <c:v>2775</c:v>
                </c:pt>
                <c:pt idx="6">
                  <c:v>3407</c:v>
                </c:pt>
                <c:pt idx="7">
                  <c:v>3614</c:v>
                </c:pt>
                <c:pt idx="8">
                  <c:v>3524</c:v>
                </c:pt>
                <c:pt idx="9">
                  <c:v>2565</c:v>
                </c:pt>
                <c:pt idx="10">
                  <c:v>4389</c:v>
                </c:pt>
                <c:pt idx="11">
                  <c:v>2963</c:v>
                </c:pt>
                <c:pt idx="12">
                  <c:v>2511</c:v>
                </c:pt>
                <c:pt idx="13">
                  <c:v>3270</c:v>
                </c:pt>
                <c:pt idx="14">
                  <c:v>2676</c:v>
                </c:pt>
                <c:pt idx="15">
                  <c:v>2660</c:v>
                </c:pt>
                <c:pt idx="16">
                  <c:v>6643</c:v>
                </c:pt>
                <c:pt idx="17">
                  <c:v>3303</c:v>
                </c:pt>
                <c:pt idx="18">
                  <c:v>6681</c:v>
                </c:pt>
                <c:pt idx="19">
                  <c:v>2441</c:v>
                </c:pt>
                <c:pt idx="20">
                  <c:v>2822</c:v>
                </c:pt>
              </c:numCache>
            </c:numRef>
          </c:val>
        </c:ser>
        <c:ser>
          <c:idx val="2"/>
          <c:order val="2"/>
          <c:spPr>
            <a:noFill/>
          </c:spPr>
          <c:trendline>
            <c:name>Dochody na 1 mieszkańca - Wielkopolska</c:name>
            <c:spPr>
              <a:ln w="25400">
                <a:solidFill>
                  <a:srgbClr val="0070C0"/>
                </a:solidFill>
              </a:ln>
            </c:spPr>
            <c:trendlineType val="linear"/>
          </c:trendline>
          <c:cat>
            <c:strRef>
              <c:f>aglomeracja!$A$62:$A$82</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aglomeracja!$D$62:$D$82</c:f>
              <c:numCache>
                <c:formatCode>0.00</c:formatCode>
                <c:ptCount val="21"/>
                <c:pt idx="0">
                  <c:v>2639.6</c:v>
                </c:pt>
                <c:pt idx="1">
                  <c:v>2639.6</c:v>
                </c:pt>
                <c:pt idx="2">
                  <c:v>2639.6</c:v>
                </c:pt>
                <c:pt idx="3">
                  <c:v>2639.6</c:v>
                </c:pt>
                <c:pt idx="4">
                  <c:v>2639.6</c:v>
                </c:pt>
                <c:pt idx="5">
                  <c:v>2639.6</c:v>
                </c:pt>
                <c:pt idx="6">
                  <c:v>2639.6</c:v>
                </c:pt>
                <c:pt idx="7">
                  <c:v>2639.6</c:v>
                </c:pt>
                <c:pt idx="8">
                  <c:v>2639.6</c:v>
                </c:pt>
                <c:pt idx="9">
                  <c:v>2639.6</c:v>
                </c:pt>
                <c:pt idx="10">
                  <c:v>2639.6</c:v>
                </c:pt>
                <c:pt idx="11">
                  <c:v>2639.6</c:v>
                </c:pt>
                <c:pt idx="12">
                  <c:v>2639.6</c:v>
                </c:pt>
                <c:pt idx="13">
                  <c:v>2639.6</c:v>
                </c:pt>
                <c:pt idx="14">
                  <c:v>2639.6</c:v>
                </c:pt>
                <c:pt idx="15">
                  <c:v>2639.6</c:v>
                </c:pt>
                <c:pt idx="16">
                  <c:v>2639.6</c:v>
                </c:pt>
                <c:pt idx="17">
                  <c:v>2639.6</c:v>
                </c:pt>
                <c:pt idx="18">
                  <c:v>2639.6</c:v>
                </c:pt>
                <c:pt idx="19">
                  <c:v>2639.6</c:v>
                </c:pt>
                <c:pt idx="20">
                  <c:v>2639.6</c:v>
                </c:pt>
              </c:numCache>
            </c:numRef>
          </c:val>
        </c:ser>
        <c:ser>
          <c:idx val="3"/>
          <c:order val="3"/>
          <c:spPr>
            <a:noFill/>
          </c:spPr>
          <c:trendline>
            <c:name>Wydatki na 1 mieszkańca - Wielkopolska</c:name>
            <c:spPr>
              <a:ln w="25400">
                <a:solidFill>
                  <a:srgbClr val="C00000"/>
                </a:solidFill>
              </a:ln>
            </c:spPr>
            <c:trendlineType val="linear"/>
          </c:trendline>
          <c:cat>
            <c:strRef>
              <c:f>aglomeracja!$A$62:$A$82</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aglomeracja!$E$62:$E$82</c:f>
              <c:numCache>
                <c:formatCode>0</c:formatCode>
                <c:ptCount val="21"/>
                <c:pt idx="0">
                  <c:v>2916</c:v>
                </c:pt>
                <c:pt idx="1">
                  <c:v>2916</c:v>
                </c:pt>
                <c:pt idx="2">
                  <c:v>2916</c:v>
                </c:pt>
                <c:pt idx="3">
                  <c:v>2916</c:v>
                </c:pt>
                <c:pt idx="4">
                  <c:v>2916</c:v>
                </c:pt>
                <c:pt idx="5">
                  <c:v>2916</c:v>
                </c:pt>
                <c:pt idx="6">
                  <c:v>2916</c:v>
                </c:pt>
                <c:pt idx="7">
                  <c:v>2916</c:v>
                </c:pt>
                <c:pt idx="8">
                  <c:v>2916</c:v>
                </c:pt>
                <c:pt idx="9">
                  <c:v>2916</c:v>
                </c:pt>
                <c:pt idx="10">
                  <c:v>2916</c:v>
                </c:pt>
                <c:pt idx="11">
                  <c:v>2916</c:v>
                </c:pt>
                <c:pt idx="12">
                  <c:v>2916</c:v>
                </c:pt>
                <c:pt idx="13">
                  <c:v>2916</c:v>
                </c:pt>
                <c:pt idx="14">
                  <c:v>2916</c:v>
                </c:pt>
                <c:pt idx="15">
                  <c:v>2916</c:v>
                </c:pt>
                <c:pt idx="16">
                  <c:v>2916</c:v>
                </c:pt>
                <c:pt idx="17">
                  <c:v>2916</c:v>
                </c:pt>
                <c:pt idx="18">
                  <c:v>2916</c:v>
                </c:pt>
                <c:pt idx="19">
                  <c:v>2916</c:v>
                </c:pt>
                <c:pt idx="20">
                  <c:v>2916</c:v>
                </c:pt>
              </c:numCache>
            </c:numRef>
          </c:val>
        </c:ser>
        <c:gapWidth val="0"/>
        <c:axId val="97659904"/>
        <c:axId val="97665792"/>
      </c:barChart>
      <c:catAx>
        <c:axId val="97659904"/>
        <c:scaling>
          <c:orientation val="minMax"/>
        </c:scaling>
        <c:axPos val="l"/>
        <c:tickLblPos val="nextTo"/>
        <c:txPr>
          <a:bodyPr/>
          <a:lstStyle/>
          <a:p>
            <a:pPr>
              <a:defRPr sz="800"/>
            </a:pPr>
            <a:endParaRPr lang="pl-PL"/>
          </a:p>
        </c:txPr>
        <c:crossAx val="97665792"/>
        <c:crosses val="autoZero"/>
        <c:auto val="1"/>
        <c:lblAlgn val="ctr"/>
        <c:lblOffset val="100"/>
      </c:catAx>
      <c:valAx>
        <c:axId val="97665792"/>
        <c:scaling>
          <c:orientation val="minMax"/>
          <c:max val="7000"/>
        </c:scaling>
        <c:axPos val="b"/>
        <c:majorGridlines/>
        <c:minorGridlines/>
        <c:title>
          <c:tx>
            <c:rich>
              <a:bodyPr/>
              <a:lstStyle/>
              <a:p>
                <a:pPr>
                  <a:defRPr/>
                </a:pPr>
                <a:r>
                  <a:rPr lang="pl-PL" sz="800" b="0"/>
                  <a:t>zł</a:t>
                </a:r>
              </a:p>
            </c:rich>
          </c:tx>
          <c:layout>
            <c:manualLayout>
              <c:xMode val="edge"/>
              <c:yMode val="edge"/>
              <c:x val="0.96312620297462814"/>
              <c:y val="0.91268855544000393"/>
            </c:manualLayout>
          </c:layout>
        </c:title>
        <c:numFmt formatCode="0" sourceLinked="0"/>
        <c:tickLblPos val="nextTo"/>
        <c:txPr>
          <a:bodyPr/>
          <a:lstStyle/>
          <a:p>
            <a:pPr>
              <a:defRPr sz="800"/>
            </a:pPr>
            <a:endParaRPr lang="pl-PL"/>
          </a:p>
        </c:txPr>
        <c:crossAx val="97659904"/>
        <c:crosses val="autoZero"/>
        <c:crossBetween val="between"/>
        <c:minorUnit val="500"/>
      </c:valAx>
      <c:spPr>
        <a:solidFill>
          <a:sysClr val="window" lastClr="FFFFFF">
            <a:lumMod val="95000"/>
          </a:sysClr>
        </a:solidFill>
      </c:spPr>
    </c:plotArea>
    <c:legend>
      <c:legendPos val="r"/>
      <c:legendEntry>
        <c:idx val="1"/>
        <c:delete val="1"/>
      </c:legendEntry>
      <c:legendEntry>
        <c:idx val="0"/>
        <c:delete val="1"/>
      </c:legendEntry>
      <c:layout>
        <c:manualLayout>
          <c:xMode val="edge"/>
          <c:yMode val="edge"/>
          <c:x val="0.69184725470081165"/>
          <c:y val="0.52706272415937838"/>
          <c:w val="0.30416940123996616"/>
          <c:h val="0.38092176143143852"/>
        </c:manualLayout>
      </c:layout>
      <c:spPr>
        <a:solidFill>
          <a:schemeClr val="bg1">
            <a:lumMod val="95000"/>
          </a:schemeClr>
        </a:solidFill>
      </c:spPr>
      <c:txPr>
        <a:bodyPr/>
        <a:lstStyle/>
        <a:p>
          <a:pPr>
            <a:defRPr sz="800"/>
          </a:pPr>
          <a:endParaRPr lang="pl-PL"/>
        </a:p>
      </c:txPr>
    </c:legend>
    <c:plotVisOnly val="1"/>
  </c:chart>
  <c:spPr>
    <a:solidFill>
      <a:schemeClr val="bg1">
        <a:lumMod val="95000"/>
      </a:schemeClr>
    </a:solidFill>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800"/>
            </a:pPr>
            <a:r>
              <a:rPr lang="pl-PL" sz="800"/>
              <a:t>Wybrane gminy miejsko</a:t>
            </a:r>
            <a:r>
              <a:rPr lang="pl-PL" sz="800" baseline="0"/>
              <a:t>-wiejskie o porównywalnej wielkości - dochody i wydatku budżetu w 2010 r.</a:t>
            </a:r>
            <a:endParaRPr lang="pl-PL" sz="800"/>
          </a:p>
        </c:rich>
      </c:tx>
      <c:layout>
        <c:manualLayout>
          <c:xMode val="edge"/>
          <c:yMode val="edge"/>
          <c:x val="0.17070605084686583"/>
          <c:y val="0"/>
        </c:manualLayout>
      </c:layout>
    </c:title>
    <c:plotArea>
      <c:layout>
        <c:manualLayout>
          <c:layoutTarget val="inner"/>
          <c:xMode val="edge"/>
          <c:yMode val="edge"/>
          <c:x val="0.28953746713771289"/>
          <c:y val="0.13145314586052953"/>
          <c:w val="0.62289118954556533"/>
          <c:h val="0.77998382029611024"/>
        </c:manualLayout>
      </c:layout>
      <c:barChart>
        <c:barDir val="bar"/>
        <c:grouping val="clustered"/>
        <c:ser>
          <c:idx val="0"/>
          <c:order val="0"/>
          <c:tx>
            <c:strRef>
              <c:f>'gm. 15-20 tys.'!$A$56</c:f>
              <c:strCache>
                <c:ptCount val="1"/>
                <c:pt idx="0">
                  <c:v>Dochody na 1 mieszkańca</c:v>
                </c:pt>
              </c:strCache>
            </c:strRef>
          </c:tx>
          <c:cat>
            <c:strRef>
              <c:f>'gm. 15-20 tys.'!$A$62:$A$71</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tys.'!$B$62:$B$71</c:f>
              <c:numCache>
                <c:formatCode>0.00</c:formatCode>
                <c:ptCount val="10"/>
                <c:pt idx="0">
                  <c:v>2459.94</c:v>
                </c:pt>
                <c:pt idx="1">
                  <c:v>2494.84</c:v>
                </c:pt>
                <c:pt idx="2">
                  <c:v>3019.64</c:v>
                </c:pt>
                <c:pt idx="3">
                  <c:v>3155.98</c:v>
                </c:pt>
                <c:pt idx="4">
                  <c:v>2505.25</c:v>
                </c:pt>
                <c:pt idx="5">
                  <c:v>2476.2599999999998</c:v>
                </c:pt>
                <c:pt idx="6">
                  <c:v>2166.66</c:v>
                </c:pt>
                <c:pt idx="7">
                  <c:v>2539.08</c:v>
                </c:pt>
                <c:pt idx="8">
                  <c:v>2780.98</c:v>
                </c:pt>
                <c:pt idx="9">
                  <c:v>2149.0500000000002</c:v>
                </c:pt>
              </c:numCache>
            </c:numRef>
          </c:val>
        </c:ser>
        <c:ser>
          <c:idx val="1"/>
          <c:order val="1"/>
          <c:tx>
            <c:strRef>
              <c:f>'gm. 15-20 tys.'!$C$56</c:f>
              <c:strCache>
                <c:ptCount val="1"/>
                <c:pt idx="0">
                  <c:v>Wydatki na 1 mieszkańca</c:v>
                </c:pt>
              </c:strCache>
            </c:strRef>
          </c:tx>
          <c:cat>
            <c:strRef>
              <c:f>'gm. 15-20 tys.'!$A$62:$A$71</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tys.'!$C$62:$C$71</c:f>
              <c:numCache>
                <c:formatCode>0</c:formatCode>
                <c:ptCount val="10"/>
                <c:pt idx="0">
                  <c:v>2476</c:v>
                </c:pt>
                <c:pt idx="1">
                  <c:v>2932</c:v>
                </c:pt>
                <c:pt idx="2">
                  <c:v>3126</c:v>
                </c:pt>
                <c:pt idx="3">
                  <c:v>3461</c:v>
                </c:pt>
                <c:pt idx="4">
                  <c:v>3005</c:v>
                </c:pt>
                <c:pt idx="5">
                  <c:v>2459</c:v>
                </c:pt>
                <c:pt idx="6">
                  <c:v>2565</c:v>
                </c:pt>
                <c:pt idx="7">
                  <c:v>2511</c:v>
                </c:pt>
                <c:pt idx="8">
                  <c:v>3270</c:v>
                </c:pt>
                <c:pt idx="9">
                  <c:v>2280</c:v>
                </c:pt>
              </c:numCache>
            </c:numRef>
          </c:val>
        </c:ser>
        <c:ser>
          <c:idx val="2"/>
          <c:order val="2"/>
          <c:spPr>
            <a:noFill/>
          </c:spPr>
          <c:trendline>
            <c:name>Dochody na 1 mieszkańca - Wielkopolska</c:name>
            <c:spPr>
              <a:ln w="25400">
                <a:solidFill>
                  <a:srgbClr val="0070C0"/>
                </a:solidFill>
              </a:ln>
            </c:spPr>
            <c:trendlineType val="linear"/>
          </c:trendline>
          <c:cat>
            <c:strRef>
              <c:f>'gm. 15-20 tys.'!$A$62:$A$71</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tys.'!$D$62:$D$71</c:f>
              <c:numCache>
                <c:formatCode>0.00</c:formatCode>
                <c:ptCount val="10"/>
                <c:pt idx="0">
                  <c:v>2639.6</c:v>
                </c:pt>
                <c:pt idx="1">
                  <c:v>2639.6</c:v>
                </c:pt>
                <c:pt idx="2">
                  <c:v>2639.6</c:v>
                </c:pt>
                <c:pt idx="3">
                  <c:v>2639.6</c:v>
                </c:pt>
                <c:pt idx="4">
                  <c:v>2639.6</c:v>
                </c:pt>
                <c:pt idx="5">
                  <c:v>2639.6</c:v>
                </c:pt>
                <c:pt idx="6">
                  <c:v>2639.6</c:v>
                </c:pt>
                <c:pt idx="7">
                  <c:v>2639.6</c:v>
                </c:pt>
                <c:pt idx="8">
                  <c:v>2639.6</c:v>
                </c:pt>
                <c:pt idx="9">
                  <c:v>2639.6</c:v>
                </c:pt>
              </c:numCache>
            </c:numRef>
          </c:val>
        </c:ser>
        <c:ser>
          <c:idx val="3"/>
          <c:order val="3"/>
          <c:spPr>
            <a:noFill/>
          </c:spPr>
          <c:trendline>
            <c:name>Wydatki na 1 mieszkańca - Wielkopolska</c:name>
            <c:spPr>
              <a:ln w="25400">
                <a:solidFill>
                  <a:srgbClr val="C00000"/>
                </a:solidFill>
              </a:ln>
            </c:spPr>
            <c:trendlineType val="linear"/>
          </c:trendline>
          <c:cat>
            <c:strRef>
              <c:f>'gm. 15-20 tys.'!$A$62:$A$71</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tys.'!$E$62:$E$71</c:f>
              <c:numCache>
                <c:formatCode>0</c:formatCode>
                <c:ptCount val="10"/>
                <c:pt idx="0">
                  <c:v>2916</c:v>
                </c:pt>
                <c:pt idx="1">
                  <c:v>2916</c:v>
                </c:pt>
                <c:pt idx="2">
                  <c:v>2916</c:v>
                </c:pt>
                <c:pt idx="3">
                  <c:v>2916</c:v>
                </c:pt>
                <c:pt idx="4">
                  <c:v>2916</c:v>
                </c:pt>
                <c:pt idx="5">
                  <c:v>2916</c:v>
                </c:pt>
                <c:pt idx="6">
                  <c:v>2916</c:v>
                </c:pt>
                <c:pt idx="7">
                  <c:v>2916</c:v>
                </c:pt>
                <c:pt idx="8">
                  <c:v>2916</c:v>
                </c:pt>
                <c:pt idx="9">
                  <c:v>2916</c:v>
                </c:pt>
              </c:numCache>
            </c:numRef>
          </c:val>
        </c:ser>
        <c:gapWidth val="0"/>
        <c:axId val="97697792"/>
        <c:axId val="97699328"/>
      </c:barChart>
      <c:catAx>
        <c:axId val="97697792"/>
        <c:scaling>
          <c:orientation val="minMax"/>
        </c:scaling>
        <c:axPos val="l"/>
        <c:tickLblPos val="nextTo"/>
        <c:txPr>
          <a:bodyPr/>
          <a:lstStyle/>
          <a:p>
            <a:pPr>
              <a:defRPr sz="800"/>
            </a:pPr>
            <a:endParaRPr lang="pl-PL"/>
          </a:p>
        </c:txPr>
        <c:crossAx val="97699328"/>
        <c:crosses val="autoZero"/>
        <c:auto val="1"/>
        <c:lblAlgn val="ctr"/>
        <c:lblOffset val="100"/>
      </c:catAx>
      <c:valAx>
        <c:axId val="97699328"/>
        <c:scaling>
          <c:orientation val="minMax"/>
          <c:max val="3500"/>
          <c:min val="0"/>
        </c:scaling>
        <c:axPos val="b"/>
        <c:majorGridlines/>
        <c:numFmt formatCode="0.0" sourceLinked="0"/>
        <c:tickLblPos val="nextTo"/>
        <c:txPr>
          <a:bodyPr/>
          <a:lstStyle/>
          <a:p>
            <a:pPr>
              <a:defRPr sz="800"/>
            </a:pPr>
            <a:endParaRPr lang="pl-PL"/>
          </a:p>
        </c:txPr>
        <c:crossAx val="97697792"/>
        <c:crosses val="autoZero"/>
        <c:crossBetween val="between"/>
        <c:majorUnit val="500"/>
        <c:dispUnits>
          <c:builtInUnit val="thousands"/>
          <c:dispUnitsLbl>
            <c:layout>
              <c:manualLayout>
                <c:xMode val="edge"/>
                <c:yMode val="edge"/>
                <c:x val="0.74971700098712624"/>
                <c:y val="0.96281819670747992"/>
              </c:manualLayout>
            </c:layout>
            <c:tx>
              <c:rich>
                <a:bodyPr/>
                <a:lstStyle/>
                <a:p>
                  <a:pPr>
                    <a:defRPr/>
                  </a:pPr>
                  <a:r>
                    <a:rPr lang="pl-PL" sz="700" b="0"/>
                    <a:t>Tysiące zł</a:t>
                  </a:r>
                </a:p>
              </c:rich>
            </c:tx>
          </c:dispUnitsLbl>
        </c:dispUnits>
      </c:valAx>
      <c:spPr>
        <a:solidFill>
          <a:sysClr val="window" lastClr="FFFFFF">
            <a:lumMod val="95000"/>
          </a:sysClr>
        </a:solidFill>
      </c:spPr>
    </c:plotArea>
    <c:plotVisOnly val="1"/>
  </c:chart>
  <c:spPr>
    <a:solidFill>
      <a:sysClr val="window" lastClr="FFFFFF">
        <a:lumMod val="95000"/>
      </a:sysClr>
    </a:solidFill>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000" baseline="0"/>
              <a:t>S</a:t>
            </a:r>
            <a:r>
              <a:rPr lang="pl-PL" sz="1000"/>
              <a:t>amodzielność finansowa gmin Aglomeracji Poznańskiej</a:t>
            </a:r>
          </a:p>
        </c:rich>
      </c:tx>
    </c:title>
    <c:plotArea>
      <c:layout>
        <c:manualLayout>
          <c:layoutTarget val="inner"/>
          <c:xMode val="edge"/>
          <c:yMode val="edge"/>
          <c:x val="0.34358551118483016"/>
          <c:y val="8.3094834360778677E-2"/>
          <c:w val="0.60144308376755751"/>
          <c:h val="0.85987365421077133"/>
        </c:manualLayout>
      </c:layout>
      <c:barChart>
        <c:barDir val="bar"/>
        <c:grouping val="clustered"/>
        <c:ser>
          <c:idx val="0"/>
          <c:order val="0"/>
          <c:tx>
            <c:strRef>
              <c:f>Arkusz1!$J$28</c:f>
              <c:strCache>
                <c:ptCount val="1"/>
                <c:pt idx="0">
                  <c:v>2009</c:v>
                </c:pt>
              </c:strCache>
            </c:strRef>
          </c:tx>
          <c:cat>
            <c:strRef>
              <c:f>Arkusz1!$A$29:$A$50</c:f>
              <c:strCache>
                <c:ptCount val="22"/>
                <c:pt idx="0">
                  <c:v>Wielkopolska</c:v>
                </c:pt>
                <c:pt idx="1">
                  <c:v>Skoki</c:v>
                </c:pt>
                <c:pt idx="2">
                  <c:v>Oborniki</c:v>
                </c:pt>
                <c:pt idx="3">
                  <c:v>Luboń</c:v>
                </c:pt>
                <c:pt idx="4">
                  <c:v>Puszczykowo</c:v>
                </c:pt>
                <c:pt idx="5">
                  <c:v>Buk</c:v>
                </c:pt>
                <c:pt idx="6">
                  <c:v>Czerwonak</c:v>
                </c:pt>
                <c:pt idx="7">
                  <c:v>Dopiewo</c:v>
                </c:pt>
                <c:pt idx="8">
                  <c:v>Kleszczewo</c:v>
                </c:pt>
                <c:pt idx="9">
                  <c:v>Komorniki</c:v>
                </c:pt>
                <c:pt idx="10">
                  <c:v>Kostrzyn</c:v>
                </c:pt>
                <c:pt idx="11">
                  <c:v>Kórnik</c:v>
                </c:pt>
                <c:pt idx="12">
                  <c:v>Mosina</c:v>
                </c:pt>
                <c:pt idx="13">
                  <c:v>Murowana Goślina</c:v>
                </c:pt>
                <c:pt idx="14">
                  <c:v>Pobiedziska</c:v>
                </c:pt>
                <c:pt idx="15">
                  <c:v>Rokietnica</c:v>
                </c:pt>
                <c:pt idx="16">
                  <c:v>Stęszew</c:v>
                </c:pt>
                <c:pt idx="17">
                  <c:v>Suchy Las</c:v>
                </c:pt>
                <c:pt idx="18">
                  <c:v>Swarzędz</c:v>
                </c:pt>
                <c:pt idx="19">
                  <c:v>Tarnowo Podgórne</c:v>
                </c:pt>
                <c:pt idx="20">
                  <c:v>Szamotuły</c:v>
                </c:pt>
                <c:pt idx="21">
                  <c:v>Śrem</c:v>
                </c:pt>
              </c:strCache>
            </c:strRef>
          </c:cat>
          <c:val>
            <c:numRef>
              <c:f>Arkusz1!$J$29:$J$50</c:f>
              <c:numCache>
                <c:formatCode>0.0</c:formatCode>
                <c:ptCount val="22"/>
                <c:pt idx="0">
                  <c:v>31.718195232340427</c:v>
                </c:pt>
                <c:pt idx="1">
                  <c:v>32.886103986180963</c:v>
                </c:pt>
                <c:pt idx="2">
                  <c:v>34.749702478152258</c:v>
                </c:pt>
                <c:pt idx="3">
                  <c:v>38.521333336903965</c:v>
                </c:pt>
                <c:pt idx="4">
                  <c:v>39.35955764085022</c:v>
                </c:pt>
                <c:pt idx="5">
                  <c:v>32.864274289848993</c:v>
                </c:pt>
                <c:pt idx="6">
                  <c:v>40.698892704580288</c:v>
                </c:pt>
                <c:pt idx="7">
                  <c:v>41.349258335492955</c:v>
                </c:pt>
                <c:pt idx="8">
                  <c:v>35.462742900922223</c:v>
                </c:pt>
                <c:pt idx="9">
                  <c:v>52.385396520955631</c:v>
                </c:pt>
                <c:pt idx="10">
                  <c:v>36.789085145720307</c:v>
                </c:pt>
                <c:pt idx="11">
                  <c:v>53.524465177407734</c:v>
                </c:pt>
                <c:pt idx="12">
                  <c:v>40.220296034695231</c:v>
                </c:pt>
                <c:pt idx="13">
                  <c:v>34.695032703501241</c:v>
                </c:pt>
                <c:pt idx="14">
                  <c:v>35.714878780781554</c:v>
                </c:pt>
                <c:pt idx="15">
                  <c:v>34.115162836596213</c:v>
                </c:pt>
                <c:pt idx="16">
                  <c:v>36.455844295127044</c:v>
                </c:pt>
                <c:pt idx="17">
                  <c:v>52.829617785359751</c:v>
                </c:pt>
                <c:pt idx="18">
                  <c:v>43.365635513415505</c:v>
                </c:pt>
                <c:pt idx="19">
                  <c:v>51.897311850138067</c:v>
                </c:pt>
                <c:pt idx="20">
                  <c:v>38.156835294217096</c:v>
                </c:pt>
                <c:pt idx="21">
                  <c:v>30.037267821491831</c:v>
                </c:pt>
              </c:numCache>
            </c:numRef>
          </c:val>
        </c:ser>
        <c:ser>
          <c:idx val="1"/>
          <c:order val="1"/>
          <c:tx>
            <c:strRef>
              <c:f>Arkusz1!$K$28</c:f>
              <c:strCache>
                <c:ptCount val="1"/>
                <c:pt idx="0">
                  <c:v>2010</c:v>
                </c:pt>
              </c:strCache>
            </c:strRef>
          </c:tx>
          <c:cat>
            <c:strRef>
              <c:f>Arkusz1!$A$29:$A$50</c:f>
              <c:strCache>
                <c:ptCount val="22"/>
                <c:pt idx="0">
                  <c:v>Wielkopolska</c:v>
                </c:pt>
                <c:pt idx="1">
                  <c:v>Skoki</c:v>
                </c:pt>
                <c:pt idx="2">
                  <c:v>Oborniki</c:v>
                </c:pt>
                <c:pt idx="3">
                  <c:v>Luboń</c:v>
                </c:pt>
                <c:pt idx="4">
                  <c:v>Puszczykowo</c:v>
                </c:pt>
                <c:pt idx="5">
                  <c:v>Buk</c:v>
                </c:pt>
                <c:pt idx="6">
                  <c:v>Czerwonak</c:v>
                </c:pt>
                <c:pt idx="7">
                  <c:v>Dopiewo</c:v>
                </c:pt>
                <c:pt idx="8">
                  <c:v>Kleszczewo</c:v>
                </c:pt>
                <c:pt idx="9">
                  <c:v>Komorniki</c:v>
                </c:pt>
                <c:pt idx="10">
                  <c:v>Kostrzyn</c:v>
                </c:pt>
                <c:pt idx="11">
                  <c:v>Kórnik</c:v>
                </c:pt>
                <c:pt idx="12">
                  <c:v>Mosina</c:v>
                </c:pt>
                <c:pt idx="13">
                  <c:v>Murowana Goślina</c:v>
                </c:pt>
                <c:pt idx="14">
                  <c:v>Pobiedziska</c:v>
                </c:pt>
                <c:pt idx="15">
                  <c:v>Rokietnica</c:v>
                </c:pt>
                <c:pt idx="16">
                  <c:v>Stęszew</c:v>
                </c:pt>
                <c:pt idx="17">
                  <c:v>Suchy Las</c:v>
                </c:pt>
                <c:pt idx="18">
                  <c:v>Swarzędz</c:v>
                </c:pt>
                <c:pt idx="19">
                  <c:v>Tarnowo Podgórne</c:v>
                </c:pt>
                <c:pt idx="20">
                  <c:v>Szamotuły</c:v>
                </c:pt>
                <c:pt idx="21">
                  <c:v>Śrem</c:v>
                </c:pt>
              </c:strCache>
            </c:strRef>
          </c:cat>
          <c:val>
            <c:numRef>
              <c:f>Arkusz1!$K$29:$K$50</c:f>
              <c:numCache>
                <c:formatCode>0.0</c:formatCode>
                <c:ptCount val="22"/>
                <c:pt idx="0">
                  <c:v>31.324776380844078</c:v>
                </c:pt>
                <c:pt idx="1">
                  <c:v>33.190632961138213</c:v>
                </c:pt>
                <c:pt idx="2">
                  <c:v>36.486224488881994</c:v>
                </c:pt>
                <c:pt idx="3">
                  <c:v>32.006745213704818</c:v>
                </c:pt>
                <c:pt idx="4">
                  <c:v>37.348687122766513</c:v>
                </c:pt>
                <c:pt idx="5">
                  <c:v>39.967372604291839</c:v>
                </c:pt>
                <c:pt idx="6">
                  <c:v>36.696314728246179</c:v>
                </c:pt>
                <c:pt idx="7">
                  <c:v>43.066093355601076</c:v>
                </c:pt>
                <c:pt idx="8">
                  <c:v>34.461274120231998</c:v>
                </c:pt>
                <c:pt idx="9">
                  <c:v>52.159530054269226</c:v>
                </c:pt>
                <c:pt idx="10">
                  <c:v>34.734545050557664</c:v>
                </c:pt>
                <c:pt idx="11">
                  <c:v>54.197878806974693</c:v>
                </c:pt>
                <c:pt idx="12">
                  <c:v>38.551854780841801</c:v>
                </c:pt>
                <c:pt idx="13">
                  <c:v>22.722018459120488</c:v>
                </c:pt>
                <c:pt idx="14">
                  <c:v>36.16480313666154</c:v>
                </c:pt>
                <c:pt idx="15">
                  <c:v>36.149435019510328</c:v>
                </c:pt>
                <c:pt idx="16">
                  <c:v>34.901931516709674</c:v>
                </c:pt>
                <c:pt idx="17">
                  <c:v>55.618869891935404</c:v>
                </c:pt>
                <c:pt idx="18">
                  <c:v>41.912072310701511</c:v>
                </c:pt>
                <c:pt idx="19">
                  <c:v>48.436130593414646</c:v>
                </c:pt>
                <c:pt idx="20">
                  <c:v>35.809169402406233</c:v>
                </c:pt>
                <c:pt idx="21">
                  <c:v>32.413360933855962</c:v>
                </c:pt>
              </c:numCache>
            </c:numRef>
          </c:val>
        </c:ser>
        <c:axId val="97712768"/>
        <c:axId val="97956224"/>
      </c:barChart>
      <c:catAx>
        <c:axId val="97712768"/>
        <c:scaling>
          <c:orientation val="minMax"/>
        </c:scaling>
        <c:axPos val="l"/>
        <c:tickLblPos val="nextTo"/>
        <c:txPr>
          <a:bodyPr/>
          <a:lstStyle/>
          <a:p>
            <a:pPr>
              <a:defRPr sz="800"/>
            </a:pPr>
            <a:endParaRPr lang="pl-PL"/>
          </a:p>
        </c:txPr>
        <c:crossAx val="97956224"/>
        <c:crosses val="autoZero"/>
        <c:auto val="1"/>
        <c:lblAlgn val="ctr"/>
        <c:lblOffset val="100"/>
      </c:catAx>
      <c:valAx>
        <c:axId val="97956224"/>
        <c:scaling>
          <c:orientation val="minMax"/>
        </c:scaling>
        <c:axPos val="b"/>
        <c:majorGridlines/>
        <c:minorGridlines/>
        <c:numFmt formatCode="0.0" sourceLinked="1"/>
        <c:tickLblPos val="nextTo"/>
        <c:txPr>
          <a:bodyPr/>
          <a:lstStyle/>
          <a:p>
            <a:pPr>
              <a:defRPr sz="800"/>
            </a:pPr>
            <a:endParaRPr lang="pl-PL"/>
          </a:p>
        </c:txPr>
        <c:crossAx val="97712768"/>
        <c:crosses val="autoZero"/>
        <c:crossBetween val="between"/>
        <c:minorUnit val="10"/>
      </c:valAx>
      <c:spPr>
        <a:solidFill>
          <a:sysClr val="window" lastClr="FFFFFF">
            <a:lumMod val="95000"/>
          </a:sysClr>
        </a:solidFill>
      </c:spPr>
    </c:plotArea>
    <c:legend>
      <c:legendPos val="r"/>
      <c:layout>
        <c:manualLayout>
          <c:xMode val="edge"/>
          <c:yMode val="edge"/>
          <c:x val="0.78982892004995597"/>
          <c:y val="0.82392595085009246"/>
          <c:w val="0.15973859825498321"/>
          <c:h val="7.3531408970443884E-2"/>
        </c:manualLayout>
      </c:layout>
      <c:txPr>
        <a:bodyPr/>
        <a:lstStyle/>
        <a:p>
          <a:pPr>
            <a:defRPr sz="800"/>
          </a:pPr>
          <a:endParaRPr lang="pl-PL"/>
        </a:p>
      </c:txPr>
    </c:legend>
    <c:plotVisOnly val="1"/>
  </c:chart>
  <c:spPr>
    <a:solidFill>
      <a:schemeClr val="bg1">
        <a:lumMod val="95000"/>
      </a:schemeClr>
    </a:solidFill>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000"/>
              <a:t>Samodzielność</a:t>
            </a:r>
            <a:r>
              <a:rPr lang="pl-PL" sz="1000" baseline="0"/>
              <a:t> finansowa w</a:t>
            </a:r>
            <a:r>
              <a:rPr lang="pl-PL" sz="1000"/>
              <a:t>ybranych gmin miejsko-wiejskich o porównywalnej wielkości</a:t>
            </a:r>
          </a:p>
        </c:rich>
      </c:tx>
    </c:title>
    <c:plotArea>
      <c:layout>
        <c:manualLayout>
          <c:layoutTarget val="inner"/>
          <c:xMode val="edge"/>
          <c:yMode val="edge"/>
          <c:x val="0.41129552594839675"/>
          <c:y val="0.13285561476378258"/>
          <c:w val="0.51933167985012552"/>
          <c:h val="0.7983796297579403"/>
        </c:manualLayout>
      </c:layout>
      <c:barChart>
        <c:barDir val="bar"/>
        <c:grouping val="clustered"/>
        <c:ser>
          <c:idx val="0"/>
          <c:order val="0"/>
          <c:tx>
            <c:strRef>
              <c:f>Arkusz1!$J$102</c:f>
              <c:strCache>
                <c:ptCount val="1"/>
                <c:pt idx="0">
                  <c:v>2009</c:v>
                </c:pt>
              </c:strCache>
            </c:strRef>
          </c:tx>
          <c:cat>
            <c:strRef>
              <c:f>Arkusz1!$A$103:$A$113</c:f>
              <c:strCache>
                <c:ptCount val="11"/>
                <c:pt idx="0">
                  <c:v>Wielkopolska</c:v>
                </c:pt>
                <c:pt idx="1">
                  <c:v>Nowe Skalmierzyce</c:v>
                </c:pt>
                <c:pt idx="2">
                  <c:v>Grodzisk Wielkopolski</c:v>
                </c:pt>
                <c:pt idx="3">
                  <c:v>Śmigiel</c:v>
                </c:pt>
                <c:pt idx="4">
                  <c:v>Międzychód</c:v>
                </c:pt>
                <c:pt idx="5">
                  <c:v>Opalenica</c:v>
                </c:pt>
                <c:pt idx="6">
                  <c:v>Rogoźno</c:v>
                </c:pt>
                <c:pt idx="7">
                  <c:v>Kostrzyn</c:v>
                </c:pt>
                <c:pt idx="8">
                  <c:v>Murowana Goślina</c:v>
                </c:pt>
                <c:pt idx="9">
                  <c:v>Pobiedziska</c:v>
                </c:pt>
                <c:pt idx="10">
                  <c:v>Wronki</c:v>
                </c:pt>
              </c:strCache>
            </c:strRef>
          </c:cat>
          <c:val>
            <c:numRef>
              <c:f>Arkusz1!$J$103:$J$113</c:f>
              <c:numCache>
                <c:formatCode>0.0</c:formatCode>
                <c:ptCount val="11"/>
                <c:pt idx="0">
                  <c:v>31.718195232340427</c:v>
                </c:pt>
                <c:pt idx="1">
                  <c:v>32.916909585618754</c:v>
                </c:pt>
                <c:pt idx="2">
                  <c:v>33.739602262131363</c:v>
                </c:pt>
                <c:pt idx="3">
                  <c:v>23.177763806630121</c:v>
                </c:pt>
                <c:pt idx="4">
                  <c:v>36.306715309612144</c:v>
                </c:pt>
                <c:pt idx="5">
                  <c:v>31.320232556739761</c:v>
                </c:pt>
                <c:pt idx="6">
                  <c:v>26.06423700940892</c:v>
                </c:pt>
                <c:pt idx="7">
                  <c:v>36.789085145720307</c:v>
                </c:pt>
                <c:pt idx="8">
                  <c:v>34.695032703501241</c:v>
                </c:pt>
                <c:pt idx="9">
                  <c:v>35.714878780781554</c:v>
                </c:pt>
                <c:pt idx="10">
                  <c:v>32.915774270683343</c:v>
                </c:pt>
              </c:numCache>
            </c:numRef>
          </c:val>
        </c:ser>
        <c:ser>
          <c:idx val="1"/>
          <c:order val="1"/>
          <c:tx>
            <c:strRef>
              <c:f>Arkusz1!$K$102</c:f>
              <c:strCache>
                <c:ptCount val="1"/>
                <c:pt idx="0">
                  <c:v>2010</c:v>
                </c:pt>
              </c:strCache>
            </c:strRef>
          </c:tx>
          <c:cat>
            <c:strRef>
              <c:f>Arkusz1!$A$103:$A$113</c:f>
              <c:strCache>
                <c:ptCount val="11"/>
                <c:pt idx="0">
                  <c:v>Wielkopolska</c:v>
                </c:pt>
                <c:pt idx="1">
                  <c:v>Nowe Skalmierzyce</c:v>
                </c:pt>
                <c:pt idx="2">
                  <c:v>Grodzisk Wielkopolski</c:v>
                </c:pt>
                <c:pt idx="3">
                  <c:v>Śmigiel</c:v>
                </c:pt>
                <c:pt idx="4">
                  <c:v>Międzychód</c:v>
                </c:pt>
                <c:pt idx="5">
                  <c:v>Opalenica</c:v>
                </c:pt>
                <c:pt idx="6">
                  <c:v>Rogoźno</c:v>
                </c:pt>
                <c:pt idx="7">
                  <c:v>Kostrzyn</c:v>
                </c:pt>
                <c:pt idx="8">
                  <c:v>Murowana Goślina</c:v>
                </c:pt>
                <c:pt idx="9">
                  <c:v>Pobiedziska</c:v>
                </c:pt>
                <c:pt idx="10">
                  <c:v>Wronki</c:v>
                </c:pt>
              </c:strCache>
            </c:strRef>
          </c:cat>
          <c:val>
            <c:numRef>
              <c:f>Arkusz1!$K$103:$K$113</c:f>
              <c:numCache>
                <c:formatCode>0.0</c:formatCode>
                <c:ptCount val="11"/>
                <c:pt idx="0">
                  <c:v>31.324776380844078</c:v>
                </c:pt>
                <c:pt idx="1">
                  <c:v>31.384085843364829</c:v>
                </c:pt>
                <c:pt idx="2">
                  <c:v>34.559722145197014</c:v>
                </c:pt>
                <c:pt idx="3">
                  <c:v>23.727850623473731</c:v>
                </c:pt>
                <c:pt idx="4">
                  <c:v>34.392562249190163</c:v>
                </c:pt>
                <c:pt idx="5">
                  <c:v>33.165368509206196</c:v>
                </c:pt>
                <c:pt idx="6">
                  <c:v>21.884741677389634</c:v>
                </c:pt>
                <c:pt idx="7">
                  <c:v>34.734545050557664</c:v>
                </c:pt>
                <c:pt idx="8">
                  <c:v>22.722018459120488</c:v>
                </c:pt>
                <c:pt idx="9">
                  <c:v>36.16480313666154</c:v>
                </c:pt>
                <c:pt idx="10">
                  <c:v>32.992677085114195</c:v>
                </c:pt>
              </c:numCache>
            </c:numRef>
          </c:val>
        </c:ser>
        <c:axId val="98455552"/>
        <c:axId val="98457088"/>
      </c:barChart>
      <c:catAx>
        <c:axId val="98455552"/>
        <c:scaling>
          <c:orientation val="minMax"/>
        </c:scaling>
        <c:axPos val="l"/>
        <c:tickLblPos val="nextTo"/>
        <c:txPr>
          <a:bodyPr/>
          <a:lstStyle/>
          <a:p>
            <a:pPr>
              <a:defRPr sz="800"/>
            </a:pPr>
            <a:endParaRPr lang="pl-PL"/>
          </a:p>
        </c:txPr>
        <c:crossAx val="98457088"/>
        <c:crosses val="autoZero"/>
        <c:auto val="1"/>
        <c:lblAlgn val="ctr"/>
        <c:lblOffset val="100"/>
      </c:catAx>
      <c:valAx>
        <c:axId val="98457088"/>
        <c:scaling>
          <c:orientation val="minMax"/>
        </c:scaling>
        <c:axPos val="b"/>
        <c:majorGridlines/>
        <c:minorGridlines/>
        <c:title>
          <c:tx>
            <c:rich>
              <a:bodyPr/>
              <a:lstStyle/>
              <a:p>
                <a:pPr>
                  <a:defRPr/>
                </a:pPr>
                <a:r>
                  <a:rPr lang="pl-PL" sz="900" b="0"/>
                  <a:t>%</a:t>
                </a:r>
              </a:p>
            </c:rich>
          </c:tx>
          <c:layout>
            <c:manualLayout>
              <c:xMode val="edge"/>
              <c:yMode val="edge"/>
              <c:x val="0.76831133816460062"/>
              <c:y val="0.9643191124567696"/>
            </c:manualLayout>
          </c:layout>
        </c:title>
        <c:numFmt formatCode="0.0" sourceLinked="1"/>
        <c:tickLblPos val="nextTo"/>
        <c:txPr>
          <a:bodyPr/>
          <a:lstStyle/>
          <a:p>
            <a:pPr>
              <a:defRPr sz="800"/>
            </a:pPr>
            <a:endParaRPr lang="pl-PL"/>
          </a:p>
        </c:txPr>
        <c:crossAx val="98455552"/>
        <c:crosses val="autoZero"/>
        <c:crossBetween val="between"/>
        <c:minorUnit val="10"/>
      </c:valAx>
      <c:spPr>
        <a:solidFill>
          <a:sysClr val="window" lastClr="FFFFFF">
            <a:lumMod val="95000"/>
          </a:sysClr>
        </a:solidFill>
      </c:spPr>
    </c:plotArea>
    <c:plotVisOnly val="1"/>
  </c:chart>
  <c:spPr>
    <a:solidFill>
      <a:sysClr val="window" lastClr="FFFFFF">
        <a:lumMod val="95000"/>
      </a:sysClr>
    </a:solidFill>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1000"/>
            </a:pPr>
            <a:r>
              <a:rPr lang="en-US" sz="1000"/>
              <a:t>Podmioty gospodarki narodowej wpisane </a:t>
            </a:r>
            <a:r>
              <a:rPr lang="pl-PL" sz="1000"/>
              <a:t>w</a:t>
            </a:r>
            <a:r>
              <a:rPr lang="pl-PL" sz="1000" baseline="0"/>
              <a:t> rejestrze</a:t>
            </a:r>
            <a:r>
              <a:rPr lang="en-US" sz="1000"/>
              <a:t> REGON w </a:t>
            </a:r>
            <a:r>
              <a:rPr lang="pl-PL" sz="1000" baseline="0"/>
              <a:t> Pobiedziskach</a:t>
            </a:r>
            <a:r>
              <a:rPr lang="en-US" sz="1000"/>
              <a:t> w latach 1995-2010</a:t>
            </a:r>
          </a:p>
        </c:rich>
      </c:tx>
    </c:title>
    <c:plotArea>
      <c:layout>
        <c:manualLayout>
          <c:layoutTarget val="inner"/>
          <c:xMode val="edge"/>
          <c:yMode val="edge"/>
          <c:x val="0.11608239230587995"/>
          <c:y val="0.21026172856108991"/>
          <c:w val="0.85040002763940792"/>
          <c:h val="0.59901491336849744"/>
        </c:manualLayout>
      </c:layout>
      <c:lineChart>
        <c:grouping val="standard"/>
        <c:ser>
          <c:idx val="0"/>
          <c:order val="0"/>
          <c:spPr>
            <a:ln w="28575"/>
          </c:spPr>
          <c:marker>
            <c:symbol val="diamond"/>
            <c:size val="5"/>
            <c:spPr>
              <a:ln w="28575"/>
            </c:spPr>
          </c:marker>
          <c:cat>
            <c:strRef>
              <c:f>przedsiębiorstwa!$E$162:$T$162</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przedsiębiorstwa!$E$164:$T$164</c:f>
              <c:numCache>
                <c:formatCode>General</c:formatCode>
                <c:ptCount val="16"/>
                <c:pt idx="0">
                  <c:v>521</c:v>
                </c:pt>
                <c:pt idx="1">
                  <c:v>749</c:v>
                </c:pt>
                <c:pt idx="2">
                  <c:v>951</c:v>
                </c:pt>
                <c:pt idx="3">
                  <c:v>1134</c:v>
                </c:pt>
                <c:pt idx="4">
                  <c:v>1263</c:v>
                </c:pt>
                <c:pt idx="5">
                  <c:v>1377</c:v>
                </c:pt>
                <c:pt idx="6">
                  <c:v>1446</c:v>
                </c:pt>
                <c:pt idx="7">
                  <c:v>1551</c:v>
                </c:pt>
                <c:pt idx="8">
                  <c:v>1645</c:v>
                </c:pt>
                <c:pt idx="9">
                  <c:v>1697</c:v>
                </c:pt>
                <c:pt idx="10">
                  <c:v>1742</c:v>
                </c:pt>
                <c:pt idx="11">
                  <c:v>1830</c:v>
                </c:pt>
                <c:pt idx="12">
                  <c:v>1910</c:v>
                </c:pt>
                <c:pt idx="13">
                  <c:v>2003</c:v>
                </c:pt>
                <c:pt idx="14">
                  <c:v>2101</c:v>
                </c:pt>
                <c:pt idx="15">
                  <c:v>2251</c:v>
                </c:pt>
              </c:numCache>
            </c:numRef>
          </c:val>
        </c:ser>
        <c:marker val="1"/>
        <c:axId val="99070720"/>
        <c:axId val="99072640"/>
      </c:lineChart>
      <c:catAx>
        <c:axId val="99070720"/>
        <c:scaling>
          <c:orientation val="minMax"/>
        </c:scaling>
        <c:axPos val="b"/>
        <c:numFmt formatCode="General" sourceLinked="1"/>
        <c:majorTickMark val="none"/>
        <c:tickLblPos val="nextTo"/>
        <c:txPr>
          <a:bodyPr rot="-2100000"/>
          <a:lstStyle/>
          <a:p>
            <a:pPr>
              <a:defRPr sz="800"/>
            </a:pPr>
            <a:endParaRPr lang="pl-PL"/>
          </a:p>
        </c:txPr>
        <c:crossAx val="99072640"/>
        <c:crosses val="autoZero"/>
        <c:auto val="1"/>
        <c:lblAlgn val="ctr"/>
        <c:lblOffset val="100"/>
      </c:catAx>
      <c:valAx>
        <c:axId val="99072640"/>
        <c:scaling>
          <c:orientation val="minMax"/>
          <c:max val="2500"/>
        </c:scaling>
        <c:axPos val="l"/>
        <c:majorGridlines/>
        <c:numFmt formatCode="General" sourceLinked="1"/>
        <c:majorTickMark val="none"/>
        <c:tickLblPos val="nextTo"/>
        <c:txPr>
          <a:bodyPr/>
          <a:lstStyle/>
          <a:p>
            <a:pPr>
              <a:defRPr sz="900"/>
            </a:pPr>
            <a:endParaRPr lang="pl-PL"/>
          </a:p>
        </c:txPr>
        <c:crossAx val="99070720"/>
        <c:crosses val="autoZero"/>
        <c:crossBetween val="between"/>
      </c:valAx>
      <c:spPr>
        <a:solidFill>
          <a:sysClr val="window" lastClr="FFFFFF">
            <a:lumMod val="95000"/>
          </a:sysClr>
        </a:solidFill>
      </c:spPr>
    </c:plotArea>
    <c:plotVisOnly val="1"/>
    <c:dispBlanksAs val="gap"/>
  </c:chart>
  <c:spPr>
    <a:solidFill>
      <a:schemeClr val="bg1">
        <a:lumMod val="95000"/>
      </a:schemeClr>
    </a:solidFill>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en-US" sz="1000" b="1" i="0" baseline="0">
                <a:latin typeface="+mn-lt"/>
              </a:rPr>
              <a:t>Podmioty gos</a:t>
            </a:r>
            <a:r>
              <a:rPr lang="pl-PL" sz="1000" b="1" i="0" baseline="0">
                <a:latin typeface="+mn-lt"/>
              </a:rPr>
              <a:t>podarki narodowej na 10 tys. mieszkańców   -  Pobiedziska na tle kraju, województwa, powiatu oraz wielkopolskich gmin miejsko-wiejskich o podobnej liczbie ludności</a:t>
            </a:r>
            <a:endParaRPr lang="en-US" sz="1000" b="1" i="0" baseline="0">
              <a:latin typeface="+mn-lt"/>
            </a:endParaRPr>
          </a:p>
        </c:rich>
      </c:tx>
    </c:title>
    <c:plotArea>
      <c:layout>
        <c:manualLayout>
          <c:layoutTarget val="inner"/>
          <c:xMode val="edge"/>
          <c:yMode val="edge"/>
          <c:x val="0.27652476761430017"/>
          <c:y val="0.22035172534252168"/>
          <c:w val="0.67739612851649633"/>
          <c:h val="0.67943262974421859"/>
        </c:manualLayout>
      </c:layout>
      <c:barChart>
        <c:barDir val="bar"/>
        <c:grouping val="clustered"/>
        <c:ser>
          <c:idx val="0"/>
          <c:order val="0"/>
          <c:dPt>
            <c:idx val="11"/>
            <c:spPr>
              <a:solidFill>
                <a:schemeClr val="accent2"/>
              </a:solidFill>
            </c:spPr>
          </c:dPt>
          <c:dLbls>
            <c:txPr>
              <a:bodyPr/>
              <a:lstStyle/>
              <a:p>
                <a:pPr>
                  <a:defRPr sz="900"/>
                </a:pPr>
                <a:endParaRPr lang="pl-PL"/>
              </a:p>
            </c:txPr>
            <c:showVal val="1"/>
          </c:dLbls>
          <c:cat>
            <c:strRef>
              <c:f>Arkusz1!$J$2:$J$14</c:f>
              <c:strCache>
                <c:ptCount val="13"/>
                <c:pt idx="0">
                  <c:v>Polska</c:v>
                </c:pt>
                <c:pt idx="1">
                  <c:v>woj. wielkopolskie</c:v>
                </c:pt>
                <c:pt idx="2">
                  <c:v>powiat poznański</c:v>
                </c:pt>
                <c:pt idx="3">
                  <c:v>Nowe Skalmierzyce</c:v>
                </c:pt>
                <c:pt idx="4">
                  <c:v>Wronki</c:v>
                </c:pt>
                <c:pt idx="5">
                  <c:v>Rogoźno</c:v>
                </c:pt>
                <c:pt idx="6">
                  <c:v>Śmigiel</c:v>
                </c:pt>
                <c:pt idx="7">
                  <c:v>Opalenica</c:v>
                </c:pt>
                <c:pt idx="8">
                  <c:v>Kostrzyn</c:v>
                </c:pt>
                <c:pt idx="9">
                  <c:v>Grodzisk Wlkp.</c:v>
                </c:pt>
                <c:pt idx="10">
                  <c:v>Międzychód</c:v>
                </c:pt>
                <c:pt idx="11">
                  <c:v>Pobiedziska</c:v>
                </c:pt>
                <c:pt idx="12">
                  <c:v>Murowana Goślina</c:v>
                </c:pt>
              </c:strCache>
            </c:strRef>
          </c:cat>
          <c:val>
            <c:numRef>
              <c:f>Arkusz1!$I$2:$I$14</c:f>
              <c:numCache>
                <c:formatCode>0</c:formatCode>
                <c:ptCount val="13"/>
                <c:pt idx="0">
                  <c:v>1024</c:v>
                </c:pt>
                <c:pt idx="1">
                  <c:v>1098</c:v>
                </c:pt>
                <c:pt idx="2">
                  <c:v>1443</c:v>
                </c:pt>
                <c:pt idx="3" formatCode="General">
                  <c:v>617</c:v>
                </c:pt>
                <c:pt idx="4" formatCode="General">
                  <c:v>775</c:v>
                </c:pt>
                <c:pt idx="5" formatCode="General">
                  <c:v>900</c:v>
                </c:pt>
                <c:pt idx="6" formatCode="General">
                  <c:v>1022</c:v>
                </c:pt>
                <c:pt idx="7" formatCode="General">
                  <c:v>1046</c:v>
                </c:pt>
                <c:pt idx="8" formatCode="General">
                  <c:v>1062</c:v>
                </c:pt>
                <c:pt idx="9" formatCode="General">
                  <c:v>1066</c:v>
                </c:pt>
                <c:pt idx="10" formatCode="General">
                  <c:v>1077</c:v>
                </c:pt>
                <c:pt idx="11" formatCode="General">
                  <c:v>1262</c:v>
                </c:pt>
                <c:pt idx="12" formatCode="General">
                  <c:v>1417</c:v>
                </c:pt>
              </c:numCache>
            </c:numRef>
          </c:val>
        </c:ser>
        <c:axId val="106933248"/>
        <c:axId val="106951424"/>
      </c:barChart>
      <c:catAx>
        <c:axId val="106933248"/>
        <c:scaling>
          <c:orientation val="minMax"/>
        </c:scaling>
        <c:axPos val="l"/>
        <c:majorTickMark val="none"/>
        <c:tickLblPos val="nextTo"/>
        <c:txPr>
          <a:bodyPr/>
          <a:lstStyle/>
          <a:p>
            <a:pPr>
              <a:defRPr sz="900"/>
            </a:pPr>
            <a:endParaRPr lang="pl-PL"/>
          </a:p>
        </c:txPr>
        <c:crossAx val="106951424"/>
        <c:crosses val="autoZero"/>
        <c:auto val="1"/>
        <c:lblAlgn val="ctr"/>
        <c:lblOffset val="100"/>
      </c:catAx>
      <c:valAx>
        <c:axId val="106951424"/>
        <c:scaling>
          <c:orientation val="minMax"/>
        </c:scaling>
        <c:axPos val="b"/>
        <c:majorGridlines/>
        <c:numFmt formatCode="0" sourceLinked="1"/>
        <c:majorTickMark val="none"/>
        <c:tickLblPos val="nextTo"/>
        <c:txPr>
          <a:bodyPr/>
          <a:lstStyle/>
          <a:p>
            <a:pPr>
              <a:defRPr sz="900"/>
            </a:pPr>
            <a:endParaRPr lang="pl-PL"/>
          </a:p>
        </c:txPr>
        <c:crossAx val="106933248"/>
        <c:crosses val="autoZero"/>
        <c:crossBetween val="between"/>
      </c:valAx>
      <c:spPr>
        <a:solidFill>
          <a:schemeClr val="bg1">
            <a:lumMod val="95000"/>
          </a:schemeClr>
        </a:solidFill>
      </c:spPr>
    </c:plotArea>
    <c:plotVisOnly val="1"/>
  </c:chart>
  <c:spPr>
    <a:solidFill>
      <a:schemeClr val="bg1">
        <a:lumMod val="95000"/>
      </a:schemeClr>
    </a:solidFill>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1000"/>
            </a:pPr>
            <a:r>
              <a:rPr lang="en-US" sz="1000"/>
              <a:t>Podmioty gos</a:t>
            </a:r>
            <a:r>
              <a:rPr lang="pl-PL" sz="1000"/>
              <a:t>podarki narodowej na 10 tys. mieszkańców  - </a:t>
            </a:r>
            <a:r>
              <a:rPr lang="pl-PL" sz="1000" baseline="0"/>
              <a:t>gminy aglomeracji poznańskiej</a:t>
            </a:r>
            <a:endParaRPr lang="en-US" sz="1000"/>
          </a:p>
        </c:rich>
      </c:tx>
      <c:layout>
        <c:manualLayout>
          <c:xMode val="edge"/>
          <c:yMode val="edge"/>
          <c:x val="0.16976106670261495"/>
          <c:y val="0"/>
        </c:manualLayout>
      </c:layout>
    </c:title>
    <c:plotArea>
      <c:layout>
        <c:manualLayout>
          <c:layoutTarget val="inner"/>
          <c:xMode val="edge"/>
          <c:yMode val="edge"/>
          <c:x val="0.24724619842107451"/>
          <c:y val="0.11057275577375097"/>
          <c:w val="0.71113396163856368"/>
          <c:h val="0.80788499180094187"/>
        </c:manualLayout>
      </c:layout>
      <c:barChart>
        <c:barDir val="bar"/>
        <c:grouping val="clustered"/>
        <c:ser>
          <c:idx val="0"/>
          <c:order val="0"/>
          <c:dPt>
            <c:idx val="8"/>
            <c:spPr>
              <a:solidFill>
                <a:schemeClr val="accent2"/>
              </a:solidFill>
            </c:spPr>
          </c:dPt>
          <c:dPt>
            <c:idx val="13"/>
            <c:spPr>
              <a:solidFill>
                <a:schemeClr val="accent1"/>
              </a:solidFill>
            </c:spPr>
          </c:dPt>
          <c:dPt>
            <c:idx val="14"/>
            <c:spPr>
              <a:solidFill>
                <a:schemeClr val="accent1"/>
              </a:solidFill>
              <a:ln>
                <a:solidFill>
                  <a:schemeClr val="accent1"/>
                </a:solidFill>
              </a:ln>
            </c:spPr>
          </c:dPt>
          <c:dPt>
            <c:idx val="15"/>
            <c:spPr>
              <a:solidFill>
                <a:schemeClr val="accent1"/>
              </a:solidFill>
              <a:ln>
                <a:solidFill>
                  <a:schemeClr val="accent1"/>
                </a:solidFill>
              </a:ln>
            </c:spPr>
          </c:dPt>
          <c:dLbls>
            <c:txPr>
              <a:bodyPr/>
              <a:lstStyle/>
              <a:p>
                <a:pPr>
                  <a:defRPr sz="900"/>
                </a:pPr>
                <a:endParaRPr lang="pl-PL"/>
              </a:p>
            </c:txPr>
            <c:showVal val="1"/>
          </c:dLbls>
          <c:cat>
            <c:strRef>
              <c:f>Arkusz1!$C$8:$C$28</c:f>
              <c:strCache>
                <c:ptCount val="21"/>
                <c:pt idx="0">
                  <c:v>Skoki</c:v>
                </c:pt>
                <c:pt idx="1">
                  <c:v>Kleszczewo</c:v>
                </c:pt>
                <c:pt idx="2">
                  <c:v>Kostrzyn</c:v>
                </c:pt>
                <c:pt idx="3">
                  <c:v>Śrem</c:v>
                </c:pt>
                <c:pt idx="4">
                  <c:v>Stęszew</c:v>
                </c:pt>
                <c:pt idx="5">
                  <c:v>Szamotuły</c:v>
                </c:pt>
                <c:pt idx="6">
                  <c:v>Czerwonak</c:v>
                </c:pt>
                <c:pt idx="7">
                  <c:v>Oborniki</c:v>
                </c:pt>
                <c:pt idx="8">
                  <c:v>Pobiedziska</c:v>
                </c:pt>
                <c:pt idx="9">
                  <c:v>Mosina</c:v>
                </c:pt>
                <c:pt idx="10">
                  <c:v>Buk</c:v>
                </c:pt>
                <c:pt idx="11">
                  <c:v>Rokietnica</c:v>
                </c:pt>
                <c:pt idx="12">
                  <c:v>Murowana Goślina</c:v>
                </c:pt>
                <c:pt idx="13">
                  <c:v>Dopiewo</c:v>
                </c:pt>
                <c:pt idx="14">
                  <c:v>Luboń</c:v>
                </c:pt>
                <c:pt idx="15">
                  <c:v>Kórnik</c:v>
                </c:pt>
                <c:pt idx="16">
                  <c:v>Swarzędz</c:v>
                </c:pt>
                <c:pt idx="17">
                  <c:v>Komorniki</c:v>
                </c:pt>
                <c:pt idx="18">
                  <c:v>Puszczykowo</c:v>
                </c:pt>
                <c:pt idx="19">
                  <c:v>Tarnowo Podgórne</c:v>
                </c:pt>
                <c:pt idx="20">
                  <c:v>Suchy Las</c:v>
                </c:pt>
              </c:strCache>
            </c:strRef>
          </c:cat>
          <c:val>
            <c:numRef>
              <c:f>Arkusz1!$B$8:$B$28</c:f>
              <c:numCache>
                <c:formatCode>0</c:formatCode>
                <c:ptCount val="21"/>
                <c:pt idx="0">
                  <c:v>781</c:v>
                </c:pt>
                <c:pt idx="1">
                  <c:v>982</c:v>
                </c:pt>
                <c:pt idx="2">
                  <c:v>1062</c:v>
                </c:pt>
                <c:pt idx="3">
                  <c:v>1118</c:v>
                </c:pt>
                <c:pt idx="4">
                  <c:v>1120</c:v>
                </c:pt>
                <c:pt idx="5">
                  <c:v>1123</c:v>
                </c:pt>
                <c:pt idx="6">
                  <c:v>1218</c:v>
                </c:pt>
                <c:pt idx="7">
                  <c:v>1219</c:v>
                </c:pt>
                <c:pt idx="8">
                  <c:v>1262</c:v>
                </c:pt>
                <c:pt idx="9">
                  <c:v>1321</c:v>
                </c:pt>
                <c:pt idx="10">
                  <c:v>1340</c:v>
                </c:pt>
                <c:pt idx="11">
                  <c:v>1389</c:v>
                </c:pt>
                <c:pt idx="12">
                  <c:v>1417</c:v>
                </c:pt>
                <c:pt idx="13">
                  <c:v>1449</c:v>
                </c:pt>
                <c:pt idx="14">
                  <c:v>1457</c:v>
                </c:pt>
                <c:pt idx="15">
                  <c:v>1468</c:v>
                </c:pt>
                <c:pt idx="16">
                  <c:v>1535</c:v>
                </c:pt>
                <c:pt idx="17">
                  <c:v>1612</c:v>
                </c:pt>
                <c:pt idx="18">
                  <c:v>1893</c:v>
                </c:pt>
                <c:pt idx="19">
                  <c:v>1926</c:v>
                </c:pt>
                <c:pt idx="20">
                  <c:v>1945</c:v>
                </c:pt>
              </c:numCache>
            </c:numRef>
          </c:val>
        </c:ser>
        <c:axId val="106989824"/>
        <c:axId val="107003904"/>
      </c:barChart>
      <c:catAx>
        <c:axId val="106989824"/>
        <c:scaling>
          <c:orientation val="minMax"/>
        </c:scaling>
        <c:axPos val="l"/>
        <c:numFmt formatCode="General" sourceLinked="1"/>
        <c:majorTickMark val="none"/>
        <c:tickLblPos val="nextTo"/>
        <c:txPr>
          <a:bodyPr/>
          <a:lstStyle/>
          <a:p>
            <a:pPr>
              <a:defRPr sz="900"/>
            </a:pPr>
            <a:endParaRPr lang="pl-PL"/>
          </a:p>
        </c:txPr>
        <c:crossAx val="107003904"/>
        <c:crosses val="autoZero"/>
        <c:auto val="1"/>
        <c:lblAlgn val="ctr"/>
        <c:lblOffset val="100"/>
      </c:catAx>
      <c:valAx>
        <c:axId val="107003904"/>
        <c:scaling>
          <c:orientation val="minMax"/>
        </c:scaling>
        <c:axPos val="b"/>
        <c:majorGridlines/>
        <c:numFmt formatCode="0" sourceLinked="1"/>
        <c:majorTickMark val="none"/>
        <c:tickLblPos val="nextTo"/>
        <c:txPr>
          <a:bodyPr/>
          <a:lstStyle/>
          <a:p>
            <a:pPr>
              <a:defRPr sz="800"/>
            </a:pPr>
            <a:endParaRPr lang="pl-PL"/>
          </a:p>
        </c:txPr>
        <c:crossAx val="106989824"/>
        <c:crosses val="autoZero"/>
        <c:crossBetween val="between"/>
      </c:valAx>
      <c:spPr>
        <a:solidFill>
          <a:schemeClr val="bg1">
            <a:lumMod val="95000"/>
          </a:schemeClr>
        </a:solidFill>
      </c:spPr>
    </c:plotArea>
    <c:plotVisOnly val="1"/>
    <c:dispBlanksAs val="gap"/>
  </c:chart>
  <c:spPr>
    <a:solidFill>
      <a:schemeClr val="bg1">
        <a:lumMod val="95000"/>
      </a:schemeClr>
    </a:solid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1000"/>
            </a:pPr>
            <a:r>
              <a:rPr lang="en-US" sz="1000"/>
              <a:t>Struktura ludności </a:t>
            </a:r>
            <a:r>
              <a:rPr lang="pl-PL" sz="1000"/>
              <a:t>gminy Pobiedziska</a:t>
            </a:r>
            <a:r>
              <a:rPr lang="en-US" sz="1000"/>
              <a:t> wg ekonomicznych grup wieku w 2010 r.</a:t>
            </a:r>
          </a:p>
        </c:rich>
      </c:tx>
      <c:layout>
        <c:manualLayout>
          <c:xMode val="edge"/>
          <c:yMode val="edge"/>
          <c:x val="0.13701620722610874"/>
          <c:y val="2.1079258010118052E-2"/>
        </c:manualLayout>
      </c:layout>
    </c:title>
    <c:plotArea>
      <c:layout>
        <c:manualLayout>
          <c:layoutTarget val="inner"/>
          <c:xMode val="edge"/>
          <c:yMode val="edge"/>
          <c:x val="1.9093005618739431E-2"/>
          <c:y val="0.24799958126966898"/>
          <c:w val="0.61092827380250014"/>
          <c:h val="0.70920814168787583"/>
        </c:manualLayout>
      </c:layout>
      <c:pieChart>
        <c:varyColors val="1"/>
        <c:ser>
          <c:idx val="0"/>
          <c:order val="0"/>
          <c:explosion val="25"/>
          <c:dPt>
            <c:idx val="0"/>
            <c:explosion val="0"/>
          </c:dPt>
          <c:dPt>
            <c:idx val="1"/>
            <c:explosion val="10"/>
          </c:dPt>
          <c:dPt>
            <c:idx val="2"/>
            <c:explosion val="14"/>
          </c:dPt>
          <c:dLbls>
            <c:dLbl>
              <c:idx val="0"/>
              <c:layout>
                <c:manualLayout>
                  <c:x val="-7.0142859692348847E-2"/>
                  <c:y val="9.7784255610254514E-2"/>
                </c:manualLayout>
              </c:layout>
              <c:dLblPos val="bestFit"/>
              <c:showPercent val="1"/>
            </c:dLbl>
            <c:dLbl>
              <c:idx val="1"/>
              <c:layout>
                <c:manualLayout>
                  <c:x val="5.1356361837254904E-3"/>
                  <c:y val="-0.17886033097586593"/>
                </c:manualLayout>
              </c:layout>
              <c:dLblPos val="bestFit"/>
              <c:showPercent val="1"/>
            </c:dLbl>
            <c:dLbl>
              <c:idx val="2"/>
              <c:layout>
                <c:manualLayout>
                  <c:x val="5.8964859065788217E-2"/>
                  <c:y val="0.10918331445305809"/>
                </c:manualLayout>
              </c:layout>
              <c:dLblPos val="bestFit"/>
              <c:showPercent val="1"/>
            </c:dLbl>
            <c:numFmt formatCode="0.0%" sourceLinked="0"/>
            <c:txPr>
              <a:bodyPr/>
              <a:lstStyle/>
              <a:p>
                <a:pPr>
                  <a:defRPr sz="1000"/>
                </a:pPr>
                <a:endParaRPr lang="pl-PL"/>
              </a:p>
            </c:txPr>
            <c:showPercent val="1"/>
            <c:showLeaderLines val="1"/>
          </c:dLbls>
          <c:cat>
            <c:strRef>
              <c:f>'Dane wg podgr. cech'!$B$129:$B$131</c:f>
              <c:strCache>
                <c:ptCount val="3"/>
                <c:pt idx="0">
                  <c:v>w wieku przedprodukcyjnym</c:v>
                </c:pt>
                <c:pt idx="1">
                  <c:v>w wieku produkcyjnym</c:v>
                </c:pt>
                <c:pt idx="2">
                  <c:v>w wieku poprodukcyjnym</c:v>
                </c:pt>
              </c:strCache>
            </c:strRef>
          </c:cat>
          <c:val>
            <c:numRef>
              <c:f>'Dane wg podgr. cech'!$E$129:$E$131</c:f>
              <c:numCache>
                <c:formatCode>#,##0.0</c:formatCode>
                <c:ptCount val="3"/>
                <c:pt idx="0">
                  <c:v>21.255930784259</c:v>
                </c:pt>
                <c:pt idx="1">
                  <c:v>65.375383756625652</c:v>
                </c:pt>
                <c:pt idx="2">
                  <c:v>13.368685459112475</c:v>
                </c:pt>
              </c:numCache>
            </c:numRef>
          </c:val>
        </c:ser>
        <c:dLbls>
          <c:showPercent val="1"/>
        </c:dLbls>
        <c:firstSliceAng val="0"/>
      </c:pieChart>
      <c:spPr>
        <a:noFill/>
        <a:ln w="25400">
          <a:noFill/>
        </a:ln>
      </c:spPr>
    </c:plotArea>
    <c:legend>
      <c:legendPos val="r"/>
      <c:layout>
        <c:manualLayout>
          <c:xMode val="edge"/>
          <c:yMode val="edge"/>
          <c:x val="0.56694352340859688"/>
          <c:y val="0.37058247678990897"/>
          <c:w val="0.42533676539865628"/>
          <c:h val="0.43234070255098384"/>
        </c:manualLayout>
      </c:layout>
      <c:txPr>
        <a:bodyPr/>
        <a:lstStyle/>
        <a:p>
          <a:pPr rtl="0">
            <a:defRPr sz="900"/>
          </a:pPr>
          <a:endParaRPr lang="pl-PL"/>
        </a:p>
      </c:txPr>
    </c:legend>
    <c:plotVisOnly val="1"/>
    <c:dispBlanksAs val="zero"/>
  </c:chart>
  <c:spPr>
    <a:solidFill>
      <a:schemeClr val="bg1">
        <a:lumMod val="95000"/>
      </a:schemeClr>
    </a:solidFill>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000"/>
              <a:t>Struktura podmiotów gospodarczych w </a:t>
            </a:r>
            <a:r>
              <a:rPr lang="pl-PL" sz="1000" baseline="0"/>
              <a:t> gminie Pobiedziska</a:t>
            </a:r>
            <a:r>
              <a:rPr lang="pl-PL" sz="1000"/>
              <a:t> </a:t>
            </a:r>
            <a:br>
              <a:rPr lang="pl-PL" sz="1000"/>
            </a:br>
            <a:r>
              <a:rPr lang="pl-PL" sz="1000"/>
              <a:t>wg wielkości zatrudnienia w 2010 r.</a:t>
            </a:r>
          </a:p>
        </c:rich>
      </c:tx>
      <c:layout>
        <c:manualLayout>
          <c:xMode val="edge"/>
          <c:yMode val="edge"/>
          <c:x val="0.12357289829512051"/>
          <c:y val="2.5413706459017252E-2"/>
        </c:manualLayout>
      </c:layout>
    </c:title>
    <c:plotArea>
      <c:layout>
        <c:manualLayout>
          <c:layoutTarget val="inner"/>
          <c:xMode val="edge"/>
          <c:yMode val="edge"/>
          <c:x val="3.2142930462680082E-2"/>
          <c:y val="0.22107556570944537"/>
          <c:w val="0.69148452911743186"/>
          <c:h val="0.75442803939655212"/>
        </c:manualLayout>
      </c:layout>
      <c:pieChart>
        <c:varyColors val="1"/>
        <c:ser>
          <c:idx val="0"/>
          <c:order val="0"/>
          <c:explosion val="10"/>
          <c:dPt>
            <c:idx val="0"/>
            <c:explosion val="4"/>
          </c:dPt>
          <c:dLbls>
            <c:dLbl>
              <c:idx val="0"/>
              <c:layout>
                <c:manualLayout>
                  <c:x val="0.12720488606337421"/>
                  <c:y val="-0.23596261969054333"/>
                </c:manualLayout>
              </c:layout>
              <c:showCatName val="1"/>
              <c:showPercent val="1"/>
            </c:dLbl>
            <c:dLbl>
              <c:idx val="1"/>
              <c:layout>
                <c:manualLayout>
                  <c:x val="3.2994741838681139E-2"/>
                  <c:y val="-7.9633802394061051E-2"/>
                </c:manualLayout>
              </c:layout>
              <c:showCatName val="1"/>
              <c:showPercent val="1"/>
            </c:dLbl>
            <c:dLbl>
              <c:idx val="2"/>
              <c:layout>
                <c:manualLayout>
                  <c:x val="3.5754321303342121E-2"/>
                  <c:y val="7.578502485960753E-2"/>
                </c:manualLayout>
              </c:layout>
              <c:showCatName val="1"/>
              <c:showPercent val="1"/>
            </c:dLbl>
            <c:dLbl>
              <c:idx val="3"/>
              <c:layout>
                <c:manualLayout>
                  <c:x val="0.10490031042058059"/>
                  <c:y val="-4.7913846070843882E-2"/>
                </c:manualLayout>
              </c:layout>
              <c:showCatName val="1"/>
              <c:showPercent val="1"/>
            </c:dLbl>
            <c:dLbl>
              <c:idx val="4"/>
              <c:layout>
                <c:manualLayout>
                  <c:x val="0.19173582879628759"/>
                  <c:y val="1.6852105678442572E-2"/>
                </c:manualLayout>
              </c:layout>
              <c:showCatName val="1"/>
              <c:showPercent val="1"/>
            </c:dLbl>
            <c:numFmt formatCode="0.00%" sourceLinked="0"/>
            <c:txPr>
              <a:bodyPr/>
              <a:lstStyle/>
              <a:p>
                <a:pPr>
                  <a:defRPr sz="900"/>
                </a:pPr>
                <a:endParaRPr lang="pl-PL"/>
              </a:p>
            </c:txPr>
            <c:showCatName val="1"/>
            <c:showPercent val="1"/>
            <c:showLeaderLines val="1"/>
          </c:dLbls>
          <c:cat>
            <c:strRef>
              <c:f>Arkusz1!$C$1:$G$1</c:f>
              <c:strCache>
                <c:ptCount val="5"/>
                <c:pt idx="0">
                  <c:v>0-9 osób</c:v>
                </c:pt>
                <c:pt idx="1">
                  <c:v>10-49 osób</c:v>
                </c:pt>
                <c:pt idx="2">
                  <c:v>50-249 osób</c:v>
                </c:pt>
                <c:pt idx="3">
                  <c:v>250-999 osób</c:v>
                </c:pt>
                <c:pt idx="4">
                  <c:v>powyżej 1000 osób</c:v>
                </c:pt>
              </c:strCache>
            </c:strRef>
          </c:cat>
          <c:val>
            <c:numRef>
              <c:f>Arkusz1!$C$14:$E$14</c:f>
              <c:numCache>
                <c:formatCode>#,##0</c:formatCode>
                <c:ptCount val="3"/>
                <c:pt idx="0">
                  <c:v>2154</c:v>
                </c:pt>
                <c:pt idx="1">
                  <c:v>88</c:v>
                </c:pt>
                <c:pt idx="2">
                  <c:v>9</c:v>
                </c:pt>
              </c:numCache>
            </c:numRef>
          </c:val>
        </c:ser>
        <c:dLbls>
          <c:showCatName val="1"/>
          <c:showPercent val="1"/>
        </c:dLbls>
        <c:firstSliceAng val="81"/>
      </c:pieChart>
    </c:plotArea>
    <c:plotVisOnly val="1"/>
  </c:chart>
  <c:spPr>
    <a:solidFill>
      <a:schemeClr val="bg1">
        <a:lumMod val="95000"/>
      </a:schemeClr>
    </a:solidFill>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000"/>
              <a:t>Struktura podmiotów gospodarczych w  Pobiedziskach wg sekcji PKD w 2010r.</a:t>
            </a:r>
          </a:p>
        </c:rich>
      </c:tx>
    </c:title>
    <c:plotArea>
      <c:layout>
        <c:manualLayout>
          <c:layoutTarget val="inner"/>
          <c:xMode val="edge"/>
          <c:yMode val="edge"/>
          <c:x val="1.1440100371343201E-2"/>
          <c:y val="0.11138557846406191"/>
          <c:w val="0.64371979890228204"/>
          <c:h val="0.81954501441436178"/>
        </c:manualLayout>
      </c:layout>
      <c:ofPieChart>
        <c:ofPieType val="bar"/>
        <c:varyColors val="1"/>
        <c:ser>
          <c:idx val="0"/>
          <c:order val="0"/>
          <c:dLbls>
            <c:dLbl>
              <c:idx val="0"/>
              <c:layout>
                <c:manualLayout>
                  <c:x val="1.6733027966815701E-2"/>
                  <c:y val="4.983154791291354E-2"/>
                </c:manualLayout>
              </c:layout>
              <c:showCatName val="1"/>
              <c:showPercent val="1"/>
            </c:dLbl>
            <c:dLbl>
              <c:idx val="2"/>
              <c:layout>
                <c:manualLayout>
                  <c:x val="7.1162114670038704E-2"/>
                  <c:y val="9.0186255166278845E-2"/>
                </c:manualLayout>
              </c:layout>
              <c:showCatName val="1"/>
              <c:showPercent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9.0113780742914179E-2"/>
                  <c:y val="0"/>
                </c:manualLayout>
              </c:layout>
              <c:showCatName val="1"/>
              <c:showPercent val="1"/>
            </c:dLbl>
            <c:dLbl>
              <c:idx val="12"/>
              <c:layout>
                <c:manualLayout>
                  <c:x val="-0.10382834131083621"/>
                  <c:y val="8.3573798465245066E-3"/>
                </c:manualLayout>
              </c:layout>
              <c:tx>
                <c:rich>
                  <a:bodyPr/>
                  <a:lstStyle/>
                  <a:p>
                    <a:r>
                      <a:rPr lang="pl-PL" sz="800"/>
                      <a:t>usługi</a:t>
                    </a:r>
                    <a:r>
                      <a:rPr lang="en-US" sz="800"/>
                      <a:t>
80%</a:t>
                    </a:r>
                  </a:p>
                </c:rich>
              </c:tx>
              <c:showCatName val="1"/>
              <c:showPercent val="1"/>
            </c:dLbl>
            <c:dLbl>
              <c:idx val="13"/>
              <c:tx>
                <c:rich>
                  <a:bodyPr/>
                  <a:lstStyle/>
                  <a:p>
                    <a:r>
                      <a:rPr lang="pl-PL" sz="800"/>
                      <a:t>usługi</a:t>
                    </a:r>
                    <a:r>
                      <a:rPr lang="en-US" sz="800"/>
                      <a:t>
75%</a:t>
                    </a:r>
                  </a:p>
                </c:rich>
              </c:tx>
              <c:showCatName val="1"/>
              <c:showPercent val="1"/>
            </c:dLbl>
            <c:txPr>
              <a:bodyPr/>
              <a:lstStyle/>
              <a:p>
                <a:pPr>
                  <a:defRPr sz="800"/>
                </a:pPr>
                <a:endParaRPr lang="pl-PL"/>
              </a:p>
            </c:txPr>
            <c:showCatName val="1"/>
            <c:showPercent val="1"/>
          </c:dLbls>
          <c:cat>
            <c:strRef>
              <c:f>Arkusz1!$C$3:$O$3</c:f>
              <c:strCache>
                <c:ptCount val="12"/>
                <c:pt idx="0">
                  <c:v>rolnictwo, leśnictwo, łowiectwo i rybactwo</c:v>
                </c:pt>
                <c:pt idx="1">
                  <c:v>przemysł</c:v>
                </c:pt>
                <c:pt idx="2">
                  <c:v>budownictwo</c:v>
                </c:pt>
                <c:pt idx="3">
                  <c:v>handel i naprawa pojazdów samochodowych</c:v>
                </c:pt>
                <c:pt idx="4">
                  <c:v>zakwaterowanie i gastronomia</c:v>
                </c:pt>
                <c:pt idx="5">
                  <c:v>transport i gospodarka magazynowa</c:v>
                </c:pt>
                <c:pt idx="6">
                  <c:v>informacja i komunikacja</c:v>
                </c:pt>
                <c:pt idx="7">
                  <c:v>działalność finansowa i ubezpieczeniowa</c:v>
                </c:pt>
                <c:pt idx="8">
                  <c:v>działalność profesjonalna, naukowa i techniczna</c:v>
                </c:pt>
                <c:pt idx="9">
                  <c:v>administrowanie i działalność wspierająca</c:v>
                </c:pt>
                <c:pt idx="10">
                  <c:v>obsługa rynku nieruchomości</c:v>
                </c:pt>
                <c:pt idx="11">
                  <c:v>inne</c:v>
                </c:pt>
              </c:strCache>
            </c:strRef>
          </c:cat>
          <c:val>
            <c:numRef>
              <c:f>Arkusz1!$C$4:$O$4</c:f>
              <c:numCache>
                <c:formatCode>General</c:formatCode>
                <c:ptCount val="13"/>
                <c:pt idx="0">
                  <c:v>52</c:v>
                </c:pt>
                <c:pt idx="1">
                  <c:v>257</c:v>
                </c:pt>
                <c:pt idx="2">
                  <c:v>404</c:v>
                </c:pt>
                <c:pt idx="3">
                  <c:v>545</c:v>
                </c:pt>
                <c:pt idx="4">
                  <c:v>56</c:v>
                </c:pt>
                <c:pt idx="5">
                  <c:v>190</c:v>
                </c:pt>
                <c:pt idx="6">
                  <c:v>43</c:v>
                </c:pt>
                <c:pt idx="7">
                  <c:v>50</c:v>
                </c:pt>
                <c:pt idx="8">
                  <c:v>219</c:v>
                </c:pt>
                <c:pt idx="9">
                  <c:v>65</c:v>
                </c:pt>
                <c:pt idx="10">
                  <c:v>39</c:v>
                </c:pt>
                <c:pt idx="11">
                  <c:v>331</c:v>
                </c:pt>
              </c:numCache>
            </c:numRef>
          </c:val>
        </c:ser>
        <c:dLbls>
          <c:showPercent val="1"/>
        </c:dLbls>
        <c:gapWidth val="100"/>
        <c:splitType val="cust"/>
        <c:custSplit>
          <c:secondPiePt val="3"/>
          <c:secondPiePt val="4"/>
          <c:secondPiePt val="5"/>
          <c:secondPiePt val="6"/>
          <c:secondPiePt val="7"/>
          <c:secondPiePt val="8"/>
          <c:secondPiePt val="9"/>
          <c:secondPiePt val="10"/>
          <c:secondPiePt val="11"/>
        </c:custSplit>
        <c:secondPieSize val="75"/>
        <c:serLines/>
      </c:ofPieChart>
    </c:plotArea>
    <c:legend>
      <c:legendPos val="r"/>
      <c:legendEntry>
        <c:idx val="0"/>
        <c:delete val="1"/>
      </c:legendEntry>
      <c:legendEntry>
        <c:idx val="1"/>
        <c:delete val="1"/>
      </c:legendEntry>
      <c:legendEntry>
        <c:idx val="2"/>
        <c:delete val="1"/>
      </c:legendEntry>
      <c:legendEntry>
        <c:idx val="11"/>
        <c:delete val="1"/>
      </c:legendEntry>
      <c:legendEntry>
        <c:idx val="12"/>
        <c:delete val="1"/>
      </c:legendEntry>
      <c:layout>
        <c:manualLayout>
          <c:xMode val="edge"/>
          <c:yMode val="edge"/>
          <c:x val="0.66410475202146502"/>
          <c:y val="0.13939519536933087"/>
          <c:w val="0.32086945942050132"/>
          <c:h val="0.85859342941362704"/>
        </c:manualLayout>
      </c:layout>
      <c:txPr>
        <a:bodyPr/>
        <a:lstStyle/>
        <a:p>
          <a:pPr>
            <a:defRPr sz="800"/>
          </a:pPr>
          <a:endParaRPr lang="pl-PL"/>
        </a:p>
      </c:txPr>
    </c:legend>
    <c:plotVisOnly val="1"/>
  </c:chart>
  <c:spPr>
    <a:solidFill>
      <a:schemeClr val="bg1">
        <a:lumMod val="95000"/>
      </a:schemeClr>
    </a:solidFill>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900"/>
            </a:pPr>
            <a:r>
              <a:rPr lang="pl-PL" sz="900"/>
              <a:t>Aglomeracja poznańska</a:t>
            </a:r>
            <a:r>
              <a:rPr lang="pl-PL" sz="900" baseline="0"/>
              <a:t> -z</a:t>
            </a:r>
            <a:r>
              <a:rPr lang="pl-PL" sz="900"/>
              <a:t>asoby mieszkaniowe na 1000 </a:t>
            </a:r>
            <a:r>
              <a:rPr lang="pl-PL" sz="900" baseline="0">
                <a:solidFill>
                  <a:sysClr val="windowText" lastClr="000000"/>
                </a:solidFill>
              </a:rPr>
              <a:t>osób</a:t>
            </a:r>
            <a:r>
              <a:rPr lang="pl-PL" sz="900" baseline="0"/>
              <a:t> </a:t>
            </a:r>
            <a:r>
              <a:rPr lang="pl-PL" sz="900"/>
              <a:t>w 2010 r.</a:t>
            </a:r>
          </a:p>
        </c:rich>
      </c:tx>
    </c:title>
    <c:plotArea>
      <c:layout>
        <c:manualLayout>
          <c:layoutTarget val="inner"/>
          <c:xMode val="edge"/>
          <c:yMode val="edge"/>
          <c:x val="0.22709273840770094"/>
          <c:y val="0.10347000600828522"/>
          <c:w val="0.73101137357831536"/>
          <c:h val="0.79625486485565544"/>
        </c:manualLayout>
      </c:layout>
      <c:barChart>
        <c:barDir val="bar"/>
        <c:grouping val="clustered"/>
        <c:ser>
          <c:idx val="0"/>
          <c:order val="0"/>
          <c:cat>
            <c:strRef>
              <c:f>aglomeracja!$A$120:$A$140</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aglomeracja!$F$120:$F$140</c:f>
              <c:numCache>
                <c:formatCode>0</c:formatCode>
                <c:ptCount val="21"/>
                <c:pt idx="0">
                  <c:v>288.02840341727716</c:v>
                </c:pt>
                <c:pt idx="1">
                  <c:v>305.39842597146969</c:v>
                </c:pt>
                <c:pt idx="2">
                  <c:v>359.45121951218562</c:v>
                </c:pt>
                <c:pt idx="3">
                  <c:v>310.74208614426578</c:v>
                </c:pt>
                <c:pt idx="4">
                  <c:v>277.78234761865593</c:v>
                </c:pt>
                <c:pt idx="5">
                  <c:v>315.24807610503132</c:v>
                </c:pt>
                <c:pt idx="6">
                  <c:v>321.20104149354631</c:v>
                </c:pt>
                <c:pt idx="7">
                  <c:v>290.39923954372631</c:v>
                </c:pt>
                <c:pt idx="8">
                  <c:v>333.79665379665369</c:v>
                </c:pt>
                <c:pt idx="9">
                  <c:v>283.90061060395402</c:v>
                </c:pt>
                <c:pt idx="10">
                  <c:v>305.43183578620335</c:v>
                </c:pt>
                <c:pt idx="11">
                  <c:v>283.00003696447669</c:v>
                </c:pt>
                <c:pt idx="12">
                  <c:v>293.90176769221353</c:v>
                </c:pt>
                <c:pt idx="13">
                  <c:v>300.19536701088469</c:v>
                </c:pt>
                <c:pt idx="14">
                  <c:v>322.66129032258061</c:v>
                </c:pt>
                <c:pt idx="15">
                  <c:v>277.94913976283323</c:v>
                </c:pt>
                <c:pt idx="16">
                  <c:v>324.21358710018399</c:v>
                </c:pt>
                <c:pt idx="17">
                  <c:v>326.50398315172708</c:v>
                </c:pt>
                <c:pt idx="18">
                  <c:v>299.56027849028823</c:v>
                </c:pt>
                <c:pt idx="19">
                  <c:v>306.05177438710763</c:v>
                </c:pt>
                <c:pt idx="20">
                  <c:v>302.9606563859233</c:v>
                </c:pt>
              </c:numCache>
            </c:numRef>
          </c:val>
        </c:ser>
        <c:ser>
          <c:idx val="1"/>
          <c:order val="1"/>
          <c:spPr>
            <a:noFill/>
          </c:spPr>
          <c:trendline>
            <c:name>Wielkopolska</c:name>
            <c:spPr>
              <a:ln w="25400">
                <a:solidFill>
                  <a:srgbClr val="C00000"/>
                </a:solidFill>
              </a:ln>
            </c:spPr>
            <c:trendlineType val="linear"/>
          </c:trendline>
          <c:cat>
            <c:strRef>
              <c:f>aglomeracja!$A$120:$A$140</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aglomeracja!$G$120:$G$140</c:f>
              <c:numCache>
                <c:formatCode>General</c:formatCode>
                <c:ptCount val="21"/>
                <c:pt idx="0">
                  <c:v>322</c:v>
                </c:pt>
                <c:pt idx="1">
                  <c:v>322</c:v>
                </c:pt>
                <c:pt idx="2">
                  <c:v>322</c:v>
                </c:pt>
                <c:pt idx="3">
                  <c:v>322</c:v>
                </c:pt>
                <c:pt idx="4">
                  <c:v>322</c:v>
                </c:pt>
                <c:pt idx="5">
                  <c:v>322</c:v>
                </c:pt>
                <c:pt idx="6">
                  <c:v>322</c:v>
                </c:pt>
                <c:pt idx="7">
                  <c:v>322</c:v>
                </c:pt>
                <c:pt idx="8">
                  <c:v>322</c:v>
                </c:pt>
                <c:pt idx="9">
                  <c:v>322</c:v>
                </c:pt>
                <c:pt idx="10">
                  <c:v>322</c:v>
                </c:pt>
                <c:pt idx="11">
                  <c:v>322</c:v>
                </c:pt>
                <c:pt idx="12">
                  <c:v>322</c:v>
                </c:pt>
                <c:pt idx="13">
                  <c:v>322</c:v>
                </c:pt>
                <c:pt idx="14">
                  <c:v>322</c:v>
                </c:pt>
                <c:pt idx="15">
                  <c:v>322</c:v>
                </c:pt>
                <c:pt idx="16">
                  <c:v>322</c:v>
                </c:pt>
                <c:pt idx="17">
                  <c:v>322</c:v>
                </c:pt>
                <c:pt idx="18">
                  <c:v>322</c:v>
                </c:pt>
                <c:pt idx="19">
                  <c:v>322</c:v>
                </c:pt>
                <c:pt idx="20">
                  <c:v>322</c:v>
                </c:pt>
              </c:numCache>
            </c:numRef>
          </c:val>
        </c:ser>
        <c:gapWidth val="0"/>
        <c:axId val="107236736"/>
        <c:axId val="107271296"/>
      </c:barChart>
      <c:catAx>
        <c:axId val="107236736"/>
        <c:scaling>
          <c:orientation val="minMax"/>
        </c:scaling>
        <c:axPos val="l"/>
        <c:numFmt formatCode="General" sourceLinked="1"/>
        <c:tickLblPos val="nextTo"/>
        <c:txPr>
          <a:bodyPr/>
          <a:lstStyle/>
          <a:p>
            <a:pPr>
              <a:defRPr sz="800"/>
            </a:pPr>
            <a:endParaRPr lang="pl-PL"/>
          </a:p>
        </c:txPr>
        <c:crossAx val="107271296"/>
        <c:crosses val="autoZero"/>
        <c:auto val="1"/>
        <c:lblAlgn val="ctr"/>
        <c:lblOffset val="100"/>
      </c:catAx>
      <c:valAx>
        <c:axId val="107271296"/>
        <c:scaling>
          <c:orientation val="minMax"/>
          <c:max val="360"/>
        </c:scaling>
        <c:axPos val="b"/>
        <c:majorGridlines/>
        <c:title>
          <c:tx>
            <c:rich>
              <a:bodyPr/>
              <a:lstStyle/>
              <a:p>
                <a:pPr>
                  <a:defRPr/>
                </a:pPr>
                <a:r>
                  <a:rPr lang="pl-PL" sz="800" b="0"/>
                  <a:t>liczba mieszkań</a:t>
                </a:r>
              </a:p>
            </c:rich>
          </c:tx>
          <c:layout>
            <c:manualLayout>
              <c:xMode val="edge"/>
              <c:yMode val="edge"/>
              <c:x val="0.75000997058910213"/>
              <c:y val="0.95859448378633549"/>
            </c:manualLayout>
          </c:layout>
        </c:title>
        <c:numFmt formatCode="0" sourceLinked="1"/>
        <c:tickLblPos val="nextTo"/>
        <c:txPr>
          <a:bodyPr/>
          <a:lstStyle/>
          <a:p>
            <a:pPr>
              <a:defRPr sz="800"/>
            </a:pPr>
            <a:endParaRPr lang="pl-PL"/>
          </a:p>
        </c:txPr>
        <c:crossAx val="107236736"/>
        <c:crosses val="autoZero"/>
        <c:crossBetween val="between"/>
        <c:majorUnit val="40"/>
        <c:minorUnit val="10"/>
      </c:valAx>
      <c:spPr>
        <a:solidFill>
          <a:schemeClr val="bg1">
            <a:lumMod val="95000"/>
          </a:schemeClr>
        </a:solidFill>
      </c:spPr>
    </c:plotArea>
    <c:legend>
      <c:legendPos val="b"/>
      <c:legendEntry>
        <c:idx val="1"/>
        <c:delete val="1"/>
      </c:legendEntry>
      <c:legendEntry>
        <c:idx val="0"/>
        <c:delete val="1"/>
      </c:legendEntry>
      <c:layout>
        <c:manualLayout>
          <c:xMode val="edge"/>
          <c:yMode val="edge"/>
          <c:x val="0.13351623567443188"/>
          <c:y val="0.94824335687963401"/>
          <c:w val="0.35841438881217136"/>
          <c:h val="5.0336780191634137E-2"/>
        </c:manualLayout>
      </c:layout>
      <c:txPr>
        <a:bodyPr/>
        <a:lstStyle/>
        <a:p>
          <a:pPr>
            <a:defRPr sz="800"/>
          </a:pPr>
          <a:endParaRPr lang="pl-PL"/>
        </a:p>
      </c:txPr>
    </c:legend>
    <c:plotVisOnly val="1"/>
    <c:dispBlanksAs val="gap"/>
  </c:chart>
  <c:spPr>
    <a:solidFill>
      <a:schemeClr val="bg1">
        <a:lumMod val="95000"/>
      </a:schemeClr>
    </a:solidFill>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900"/>
            </a:pPr>
            <a:r>
              <a:rPr lang="pl-PL" sz="900"/>
              <a:t>Wybrane gminy miejsko-wiejskie o porównywalnej wielkości - zasoby mieszkaniowe na 1000</a:t>
            </a:r>
            <a:r>
              <a:rPr lang="pl-PL" sz="900">
                <a:solidFill>
                  <a:sysClr val="windowText" lastClr="000000"/>
                </a:solidFill>
              </a:rPr>
              <a:t> </a:t>
            </a:r>
            <a:r>
              <a:rPr lang="pl-PL" sz="900" baseline="0">
                <a:solidFill>
                  <a:sysClr val="windowText" lastClr="000000"/>
                </a:solidFill>
              </a:rPr>
              <a:t>osób </a:t>
            </a:r>
            <a:r>
              <a:rPr lang="pl-PL" sz="900"/>
              <a:t>w 2010 r.</a:t>
            </a:r>
          </a:p>
        </c:rich>
      </c:tx>
    </c:title>
    <c:plotArea>
      <c:layout>
        <c:manualLayout>
          <c:layoutTarget val="inner"/>
          <c:xMode val="edge"/>
          <c:yMode val="edge"/>
          <c:x val="0.40589263894775818"/>
          <c:y val="0.17678136655484794"/>
          <c:w val="0.52965326225159592"/>
          <c:h val="0.69393087749095805"/>
        </c:manualLayout>
      </c:layout>
      <c:barChart>
        <c:barDir val="bar"/>
        <c:grouping val="clustered"/>
        <c:ser>
          <c:idx val="0"/>
          <c:order val="0"/>
          <c:cat>
            <c:strRef>
              <c:f>'gm. 15-20 tys.'!$A$63:$A$72</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tys.'!$D$81:$D$90</c:f>
              <c:numCache>
                <c:formatCode>0</c:formatCode>
                <c:ptCount val="10"/>
                <c:pt idx="0">
                  <c:v>266.64915276500722</c:v>
                </c:pt>
                <c:pt idx="1">
                  <c:v>295.7037192467011</c:v>
                </c:pt>
                <c:pt idx="2">
                  <c:v>267.45044584540233</c:v>
                </c:pt>
                <c:pt idx="3">
                  <c:v>325.78718783930532</c:v>
                </c:pt>
                <c:pt idx="4">
                  <c:v>283.4947792175052</c:v>
                </c:pt>
                <c:pt idx="5">
                  <c:v>298.29045266087343</c:v>
                </c:pt>
                <c:pt idx="6">
                  <c:v>283.90061060395402</c:v>
                </c:pt>
                <c:pt idx="7">
                  <c:v>293.90176769221353</c:v>
                </c:pt>
                <c:pt idx="8">
                  <c:v>300.19536701088469</c:v>
                </c:pt>
                <c:pt idx="9">
                  <c:v>305.86919471665959</c:v>
                </c:pt>
              </c:numCache>
            </c:numRef>
          </c:val>
        </c:ser>
        <c:ser>
          <c:idx val="1"/>
          <c:order val="1"/>
          <c:spPr>
            <a:noFill/>
          </c:spPr>
          <c:trendline>
            <c:name>Wielkopolska</c:name>
            <c:spPr>
              <a:ln w="25400">
                <a:solidFill>
                  <a:srgbClr val="C00000"/>
                </a:solidFill>
              </a:ln>
            </c:spPr>
            <c:trendlineType val="linear"/>
          </c:trendline>
          <c:cat>
            <c:strRef>
              <c:f>'gm. 15-20 tys.'!$A$63:$A$72</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tys.'!$E$81:$E$90</c:f>
              <c:numCache>
                <c:formatCode>General</c:formatCode>
                <c:ptCount val="10"/>
                <c:pt idx="0">
                  <c:v>322</c:v>
                </c:pt>
                <c:pt idx="1">
                  <c:v>322</c:v>
                </c:pt>
                <c:pt idx="2">
                  <c:v>322</c:v>
                </c:pt>
                <c:pt idx="3">
                  <c:v>322</c:v>
                </c:pt>
                <c:pt idx="4">
                  <c:v>322</c:v>
                </c:pt>
                <c:pt idx="5">
                  <c:v>322</c:v>
                </c:pt>
                <c:pt idx="6">
                  <c:v>322</c:v>
                </c:pt>
                <c:pt idx="7">
                  <c:v>322</c:v>
                </c:pt>
                <c:pt idx="8">
                  <c:v>322</c:v>
                </c:pt>
                <c:pt idx="9">
                  <c:v>322</c:v>
                </c:pt>
              </c:numCache>
            </c:numRef>
          </c:val>
        </c:ser>
        <c:gapWidth val="50"/>
        <c:axId val="108288640"/>
        <c:axId val="108315008"/>
      </c:barChart>
      <c:catAx>
        <c:axId val="108288640"/>
        <c:scaling>
          <c:orientation val="minMax"/>
        </c:scaling>
        <c:axPos val="l"/>
        <c:numFmt formatCode="General" sourceLinked="1"/>
        <c:tickLblPos val="nextTo"/>
        <c:txPr>
          <a:bodyPr/>
          <a:lstStyle/>
          <a:p>
            <a:pPr>
              <a:defRPr sz="800"/>
            </a:pPr>
            <a:endParaRPr lang="pl-PL"/>
          </a:p>
        </c:txPr>
        <c:crossAx val="108315008"/>
        <c:crosses val="autoZero"/>
        <c:auto val="1"/>
        <c:lblAlgn val="ctr"/>
        <c:lblOffset val="100"/>
      </c:catAx>
      <c:valAx>
        <c:axId val="108315008"/>
        <c:scaling>
          <c:orientation val="minMax"/>
        </c:scaling>
        <c:axPos val="b"/>
        <c:majorGridlines/>
        <c:title>
          <c:tx>
            <c:rich>
              <a:bodyPr/>
              <a:lstStyle/>
              <a:p>
                <a:pPr>
                  <a:defRPr/>
                </a:pPr>
                <a:r>
                  <a:rPr lang="pl-PL" sz="800" b="0"/>
                  <a:t>Liczba mieszkań</a:t>
                </a:r>
              </a:p>
            </c:rich>
          </c:tx>
          <c:layout>
            <c:manualLayout>
              <c:xMode val="edge"/>
              <c:yMode val="edge"/>
              <c:x val="0.69190665227894665"/>
              <c:y val="0.94264114672320165"/>
            </c:manualLayout>
          </c:layout>
        </c:title>
        <c:numFmt formatCode="0" sourceLinked="1"/>
        <c:tickLblPos val="nextTo"/>
        <c:txPr>
          <a:bodyPr/>
          <a:lstStyle/>
          <a:p>
            <a:pPr>
              <a:defRPr sz="800"/>
            </a:pPr>
            <a:endParaRPr lang="pl-PL"/>
          </a:p>
        </c:txPr>
        <c:crossAx val="108288640"/>
        <c:crosses val="autoZero"/>
        <c:crossBetween val="between"/>
        <c:majorUnit val="100"/>
      </c:valAx>
      <c:spPr>
        <a:solidFill>
          <a:sysClr val="window" lastClr="FFFFFF">
            <a:lumMod val="95000"/>
          </a:sysClr>
        </a:solidFill>
      </c:spPr>
    </c:plotArea>
    <c:legend>
      <c:legendPos val="b"/>
      <c:legendEntry>
        <c:idx val="1"/>
        <c:delete val="1"/>
      </c:legendEntry>
      <c:legendEntry>
        <c:idx val="0"/>
        <c:delete val="1"/>
      </c:legendEntry>
      <c:layout>
        <c:manualLayout>
          <c:xMode val="edge"/>
          <c:yMode val="edge"/>
          <c:x val="5.9574089156574903E-2"/>
          <c:y val="0.9294394978849928"/>
          <c:w val="0.55989814901545032"/>
          <c:h val="6.1301420292369221E-2"/>
        </c:manualLayout>
      </c:layout>
      <c:txPr>
        <a:bodyPr/>
        <a:lstStyle/>
        <a:p>
          <a:pPr>
            <a:defRPr sz="800"/>
          </a:pPr>
          <a:endParaRPr lang="pl-PL"/>
        </a:p>
      </c:txPr>
    </c:legend>
    <c:plotVisOnly val="1"/>
    <c:dispBlanksAs val="gap"/>
  </c:chart>
  <c:spPr>
    <a:solidFill>
      <a:sysClr val="window" lastClr="FFFFFF">
        <a:lumMod val="95000"/>
      </a:sysClr>
    </a:solidFill>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900"/>
            </a:pPr>
            <a:r>
              <a:rPr lang="pl-PL" sz="900"/>
              <a:t>Aglomeracja Poznańska - czytelnicy bibliotek publicznych na 1000 osób w 2010 r.</a:t>
            </a:r>
          </a:p>
        </c:rich>
      </c:tx>
    </c:title>
    <c:plotArea>
      <c:layout>
        <c:manualLayout>
          <c:layoutTarget val="inner"/>
          <c:xMode val="edge"/>
          <c:yMode val="edge"/>
          <c:x val="0.35099543046185228"/>
          <c:y val="0.11795490742418922"/>
          <c:w val="0.5756634315585285"/>
          <c:h val="0.77317991332726599"/>
        </c:manualLayout>
      </c:layout>
      <c:barChart>
        <c:barDir val="bar"/>
        <c:grouping val="clustered"/>
        <c:ser>
          <c:idx val="0"/>
          <c:order val="0"/>
          <c:cat>
            <c:strRef>
              <c:f>aglomeracja!$A$221:$A$241</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aglomeracja!$B$221:$B$241</c:f>
              <c:numCache>
                <c:formatCode>General</c:formatCode>
                <c:ptCount val="21"/>
                <c:pt idx="0">
                  <c:v>107</c:v>
                </c:pt>
                <c:pt idx="1">
                  <c:v>222</c:v>
                </c:pt>
                <c:pt idx="2">
                  <c:v>176</c:v>
                </c:pt>
                <c:pt idx="3">
                  <c:v>168</c:v>
                </c:pt>
                <c:pt idx="4">
                  <c:v>193</c:v>
                </c:pt>
                <c:pt idx="5">
                  <c:v>129</c:v>
                </c:pt>
                <c:pt idx="6">
                  <c:v>125</c:v>
                </c:pt>
                <c:pt idx="7">
                  <c:v>218</c:v>
                </c:pt>
                <c:pt idx="8">
                  <c:v>95</c:v>
                </c:pt>
                <c:pt idx="9">
                  <c:v>215</c:v>
                </c:pt>
                <c:pt idx="10">
                  <c:v>128</c:v>
                </c:pt>
                <c:pt idx="11">
                  <c:v>171</c:v>
                </c:pt>
                <c:pt idx="12">
                  <c:v>160</c:v>
                </c:pt>
                <c:pt idx="13">
                  <c:v>199</c:v>
                </c:pt>
                <c:pt idx="14">
                  <c:v>119</c:v>
                </c:pt>
                <c:pt idx="15">
                  <c:v>166</c:v>
                </c:pt>
                <c:pt idx="16">
                  <c:v>233</c:v>
                </c:pt>
                <c:pt idx="17">
                  <c:v>142</c:v>
                </c:pt>
                <c:pt idx="18">
                  <c:v>111</c:v>
                </c:pt>
                <c:pt idx="19">
                  <c:v>191</c:v>
                </c:pt>
                <c:pt idx="20">
                  <c:v>134</c:v>
                </c:pt>
              </c:numCache>
            </c:numRef>
          </c:val>
        </c:ser>
        <c:ser>
          <c:idx val="1"/>
          <c:order val="1"/>
          <c:spPr>
            <a:noFill/>
          </c:spPr>
          <c:trendline>
            <c:name>Wielkopolska</c:name>
            <c:spPr>
              <a:ln w="25400">
                <a:solidFill>
                  <a:srgbClr val="C00000"/>
                </a:solidFill>
              </a:ln>
            </c:spPr>
            <c:trendlineType val="linear"/>
          </c:trendline>
          <c:cat>
            <c:strRef>
              <c:f>aglomeracja!$A$221:$A$241</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aglomeracja!$C$221:$C$241</c:f>
              <c:numCache>
                <c:formatCode>General</c:formatCode>
                <c:ptCount val="21"/>
                <c:pt idx="0">
                  <c:v>161</c:v>
                </c:pt>
                <c:pt idx="1">
                  <c:v>161</c:v>
                </c:pt>
                <c:pt idx="2">
                  <c:v>161</c:v>
                </c:pt>
                <c:pt idx="3">
                  <c:v>161</c:v>
                </c:pt>
                <c:pt idx="4">
                  <c:v>161</c:v>
                </c:pt>
                <c:pt idx="5">
                  <c:v>161</c:v>
                </c:pt>
                <c:pt idx="6">
                  <c:v>161</c:v>
                </c:pt>
                <c:pt idx="7">
                  <c:v>161</c:v>
                </c:pt>
                <c:pt idx="8">
                  <c:v>161</c:v>
                </c:pt>
                <c:pt idx="9">
                  <c:v>161</c:v>
                </c:pt>
                <c:pt idx="10">
                  <c:v>161</c:v>
                </c:pt>
                <c:pt idx="11">
                  <c:v>161</c:v>
                </c:pt>
                <c:pt idx="12">
                  <c:v>161</c:v>
                </c:pt>
                <c:pt idx="13">
                  <c:v>161</c:v>
                </c:pt>
                <c:pt idx="14">
                  <c:v>161</c:v>
                </c:pt>
                <c:pt idx="15">
                  <c:v>161</c:v>
                </c:pt>
                <c:pt idx="16">
                  <c:v>161</c:v>
                </c:pt>
                <c:pt idx="17">
                  <c:v>161</c:v>
                </c:pt>
                <c:pt idx="18">
                  <c:v>161</c:v>
                </c:pt>
                <c:pt idx="19">
                  <c:v>161</c:v>
                </c:pt>
                <c:pt idx="20">
                  <c:v>161</c:v>
                </c:pt>
              </c:numCache>
            </c:numRef>
          </c:val>
        </c:ser>
        <c:gapWidth val="0"/>
        <c:axId val="108330368"/>
        <c:axId val="108409984"/>
      </c:barChart>
      <c:catAx>
        <c:axId val="108330368"/>
        <c:scaling>
          <c:orientation val="minMax"/>
        </c:scaling>
        <c:axPos val="l"/>
        <c:tickLblPos val="nextTo"/>
        <c:txPr>
          <a:bodyPr/>
          <a:lstStyle/>
          <a:p>
            <a:pPr>
              <a:defRPr sz="800"/>
            </a:pPr>
            <a:endParaRPr lang="pl-PL"/>
          </a:p>
        </c:txPr>
        <c:crossAx val="108409984"/>
        <c:crosses val="autoZero"/>
        <c:auto val="1"/>
        <c:lblAlgn val="ctr"/>
        <c:lblOffset val="100"/>
      </c:catAx>
      <c:valAx>
        <c:axId val="108409984"/>
        <c:scaling>
          <c:orientation val="minMax"/>
        </c:scaling>
        <c:axPos val="b"/>
        <c:majorGridlines/>
        <c:title>
          <c:tx>
            <c:rich>
              <a:bodyPr/>
              <a:lstStyle/>
              <a:p>
                <a:pPr>
                  <a:defRPr/>
                </a:pPr>
                <a:r>
                  <a:rPr lang="pl-PL" sz="800" b="0"/>
                  <a:t>osoby</a:t>
                </a:r>
              </a:p>
            </c:rich>
          </c:tx>
          <c:layout>
            <c:manualLayout>
              <c:xMode val="edge"/>
              <c:yMode val="edge"/>
              <c:x val="0.83761963471416689"/>
              <c:y val="0.94538616905189166"/>
            </c:manualLayout>
          </c:layout>
        </c:title>
        <c:numFmt formatCode="General" sourceLinked="1"/>
        <c:tickLblPos val="nextTo"/>
        <c:txPr>
          <a:bodyPr/>
          <a:lstStyle/>
          <a:p>
            <a:pPr>
              <a:defRPr sz="800"/>
            </a:pPr>
            <a:endParaRPr lang="pl-PL"/>
          </a:p>
        </c:txPr>
        <c:crossAx val="108330368"/>
        <c:crosses val="autoZero"/>
        <c:crossBetween val="between"/>
      </c:valAx>
      <c:spPr>
        <a:solidFill>
          <a:schemeClr val="bg1">
            <a:lumMod val="95000"/>
          </a:schemeClr>
        </a:solidFill>
      </c:spPr>
    </c:plotArea>
    <c:legend>
      <c:legendPos val="b"/>
      <c:legendEntry>
        <c:idx val="1"/>
        <c:delete val="1"/>
      </c:legendEntry>
      <c:legendEntry>
        <c:idx val="0"/>
        <c:delete val="1"/>
      </c:legendEntry>
      <c:layout>
        <c:manualLayout>
          <c:xMode val="edge"/>
          <c:yMode val="edge"/>
          <c:x val="0.326183957293738"/>
          <c:y val="0.955967652738968"/>
          <c:w val="0.3476320854125346"/>
          <c:h val="4.4032347261031994E-2"/>
        </c:manualLayout>
      </c:layout>
      <c:txPr>
        <a:bodyPr/>
        <a:lstStyle/>
        <a:p>
          <a:pPr>
            <a:defRPr sz="800"/>
          </a:pPr>
          <a:endParaRPr lang="pl-PL"/>
        </a:p>
      </c:txPr>
    </c:legend>
    <c:plotVisOnly val="1"/>
  </c:chart>
  <c:spPr>
    <a:solidFill>
      <a:schemeClr val="bg1">
        <a:lumMod val="95000"/>
      </a:schemeClr>
    </a:solidFill>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900"/>
            </a:pPr>
            <a:r>
              <a:rPr lang="pl-PL" sz="900"/>
              <a:t>Wybrane gminy miejsko-wiejskie o porównywalnej wielkości - czytelnicy bibliotek publicznych na 1000</a:t>
            </a:r>
            <a:r>
              <a:rPr lang="pl-PL" sz="900" baseline="0"/>
              <a:t> osób w 2010 r.</a:t>
            </a:r>
            <a:endParaRPr lang="pl-PL" sz="900"/>
          </a:p>
        </c:rich>
      </c:tx>
      <c:layout>
        <c:manualLayout>
          <c:xMode val="edge"/>
          <c:yMode val="edge"/>
          <c:x val="0.13259667680898485"/>
          <c:y val="1.6862745879083523E-2"/>
        </c:manualLayout>
      </c:layout>
    </c:title>
    <c:plotArea>
      <c:layout>
        <c:manualLayout>
          <c:layoutTarget val="inner"/>
          <c:xMode val="edge"/>
          <c:yMode val="edge"/>
          <c:x val="0.36872661678998092"/>
          <c:y val="0.17970066191809972"/>
          <c:w val="0.57382345926806366"/>
          <c:h val="0.67704832017620065"/>
        </c:manualLayout>
      </c:layout>
      <c:barChart>
        <c:barDir val="bar"/>
        <c:grouping val="clustered"/>
        <c:ser>
          <c:idx val="0"/>
          <c:order val="0"/>
          <c:cat>
            <c:strRef>
              <c:f>'gm. 15-20 tys.'!$A$147:$A$156</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tys.'!$B$147:$B$156</c:f>
              <c:numCache>
                <c:formatCode>General</c:formatCode>
                <c:ptCount val="10"/>
                <c:pt idx="0">
                  <c:v>140</c:v>
                </c:pt>
                <c:pt idx="1">
                  <c:v>202</c:v>
                </c:pt>
                <c:pt idx="2">
                  <c:v>118</c:v>
                </c:pt>
                <c:pt idx="3">
                  <c:v>180</c:v>
                </c:pt>
                <c:pt idx="4">
                  <c:v>213</c:v>
                </c:pt>
                <c:pt idx="5">
                  <c:v>100</c:v>
                </c:pt>
                <c:pt idx="6">
                  <c:v>215</c:v>
                </c:pt>
                <c:pt idx="7">
                  <c:v>160</c:v>
                </c:pt>
                <c:pt idx="8">
                  <c:v>199</c:v>
                </c:pt>
                <c:pt idx="9">
                  <c:v>144</c:v>
                </c:pt>
              </c:numCache>
            </c:numRef>
          </c:val>
        </c:ser>
        <c:ser>
          <c:idx val="1"/>
          <c:order val="1"/>
          <c:spPr>
            <a:noFill/>
          </c:spPr>
          <c:trendline>
            <c:name>Wielkopolska</c:name>
            <c:spPr>
              <a:ln w="25400">
                <a:solidFill>
                  <a:srgbClr val="C00000"/>
                </a:solidFill>
              </a:ln>
            </c:spPr>
            <c:trendlineType val="linear"/>
          </c:trendline>
          <c:cat>
            <c:strRef>
              <c:f>'gm. 15-20 tys.'!$A$147:$A$156</c:f>
              <c:strCache>
                <c:ptCount val="10"/>
                <c:pt idx="0">
                  <c:v>Nowe Skalmierzyce</c:v>
                </c:pt>
                <c:pt idx="1">
                  <c:v>Grodzisk Wielkopolski</c:v>
                </c:pt>
                <c:pt idx="2">
                  <c:v>Śmigiel</c:v>
                </c:pt>
                <c:pt idx="3">
                  <c:v>Międzychód</c:v>
                </c:pt>
                <c:pt idx="4">
                  <c:v>Opalenica</c:v>
                </c:pt>
                <c:pt idx="5">
                  <c:v>Rogoźno</c:v>
                </c:pt>
                <c:pt idx="6">
                  <c:v>Kostrzyn</c:v>
                </c:pt>
                <c:pt idx="7">
                  <c:v>Murowana Goślina</c:v>
                </c:pt>
                <c:pt idx="8">
                  <c:v>Pobiedziska</c:v>
                </c:pt>
                <c:pt idx="9">
                  <c:v>Wronki</c:v>
                </c:pt>
              </c:strCache>
            </c:strRef>
          </c:cat>
          <c:val>
            <c:numRef>
              <c:f>'gm. 15-20 tys.'!$C$147:$C$156</c:f>
              <c:numCache>
                <c:formatCode>General</c:formatCode>
                <c:ptCount val="10"/>
                <c:pt idx="0">
                  <c:v>161</c:v>
                </c:pt>
                <c:pt idx="1">
                  <c:v>161</c:v>
                </c:pt>
                <c:pt idx="2">
                  <c:v>161</c:v>
                </c:pt>
                <c:pt idx="3">
                  <c:v>161</c:v>
                </c:pt>
                <c:pt idx="4">
                  <c:v>161</c:v>
                </c:pt>
                <c:pt idx="5">
                  <c:v>161</c:v>
                </c:pt>
                <c:pt idx="6">
                  <c:v>161</c:v>
                </c:pt>
                <c:pt idx="7">
                  <c:v>161</c:v>
                </c:pt>
                <c:pt idx="8">
                  <c:v>161</c:v>
                </c:pt>
                <c:pt idx="9">
                  <c:v>161</c:v>
                </c:pt>
              </c:numCache>
            </c:numRef>
          </c:val>
        </c:ser>
        <c:gapWidth val="7"/>
        <c:axId val="108485248"/>
        <c:axId val="108491136"/>
      </c:barChart>
      <c:catAx>
        <c:axId val="108485248"/>
        <c:scaling>
          <c:orientation val="minMax"/>
        </c:scaling>
        <c:axPos val="l"/>
        <c:tickLblPos val="nextTo"/>
        <c:txPr>
          <a:bodyPr/>
          <a:lstStyle/>
          <a:p>
            <a:pPr>
              <a:defRPr sz="800"/>
            </a:pPr>
            <a:endParaRPr lang="pl-PL"/>
          </a:p>
        </c:txPr>
        <c:crossAx val="108491136"/>
        <c:crosses val="autoZero"/>
        <c:auto val="1"/>
        <c:lblAlgn val="ctr"/>
        <c:lblOffset val="100"/>
      </c:catAx>
      <c:valAx>
        <c:axId val="108491136"/>
        <c:scaling>
          <c:orientation val="minMax"/>
          <c:max val="250"/>
        </c:scaling>
        <c:axPos val="b"/>
        <c:majorGridlines/>
        <c:title>
          <c:tx>
            <c:rich>
              <a:bodyPr/>
              <a:lstStyle/>
              <a:p>
                <a:pPr>
                  <a:defRPr/>
                </a:pPr>
                <a:r>
                  <a:rPr lang="pl-PL" sz="800" b="0"/>
                  <a:t>osoby</a:t>
                </a:r>
              </a:p>
            </c:rich>
          </c:tx>
          <c:layout>
            <c:manualLayout>
              <c:xMode val="edge"/>
              <c:yMode val="edge"/>
              <c:x val="0.82349446103631352"/>
              <c:y val="0.92505261862731492"/>
            </c:manualLayout>
          </c:layout>
        </c:title>
        <c:numFmt formatCode="General" sourceLinked="1"/>
        <c:tickLblPos val="nextTo"/>
        <c:txPr>
          <a:bodyPr/>
          <a:lstStyle/>
          <a:p>
            <a:pPr>
              <a:defRPr sz="800"/>
            </a:pPr>
            <a:endParaRPr lang="pl-PL"/>
          </a:p>
        </c:txPr>
        <c:crossAx val="108485248"/>
        <c:crosses val="autoZero"/>
        <c:crossBetween val="between"/>
        <c:majorUnit val="50"/>
      </c:valAx>
      <c:spPr>
        <a:solidFill>
          <a:schemeClr val="bg1">
            <a:lumMod val="95000"/>
          </a:schemeClr>
        </a:solidFill>
      </c:spPr>
    </c:plotArea>
    <c:legend>
      <c:legendPos val="b"/>
      <c:legendEntry>
        <c:idx val="1"/>
        <c:delete val="1"/>
      </c:legendEntry>
      <c:legendEntry>
        <c:idx val="0"/>
        <c:delete val="1"/>
      </c:legendEntry>
      <c:txPr>
        <a:bodyPr/>
        <a:lstStyle/>
        <a:p>
          <a:pPr>
            <a:defRPr sz="800"/>
          </a:pPr>
          <a:endParaRPr lang="pl-PL"/>
        </a:p>
      </c:txPr>
    </c:legend>
    <c:plotVisOnly val="1"/>
  </c:chart>
  <c:spPr>
    <a:solidFill>
      <a:schemeClr val="bg1">
        <a:lumMod val="95000"/>
      </a:schemeClr>
    </a:solidFill>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900"/>
            </a:pPr>
            <a:r>
              <a:rPr lang="pl-PL" sz="900"/>
              <a:t>Liczba ludności na 1 zakład opieki zdrowotnej w latach 2009 i 2010</a:t>
            </a:r>
          </a:p>
        </c:rich>
      </c:tx>
      <c:layout>
        <c:manualLayout>
          <c:xMode val="edge"/>
          <c:yMode val="edge"/>
          <c:x val="0.10445581840092215"/>
          <c:y val="0"/>
        </c:manualLayout>
      </c:layout>
    </c:title>
    <c:plotArea>
      <c:layout>
        <c:manualLayout>
          <c:layoutTarget val="inner"/>
          <c:xMode val="edge"/>
          <c:yMode val="edge"/>
          <c:x val="0.22654209049613833"/>
          <c:y val="5.7971025518472663E-2"/>
          <c:w val="0.72874026889583565"/>
          <c:h val="0.87124783583396781"/>
        </c:manualLayout>
      </c:layout>
      <c:barChart>
        <c:barDir val="bar"/>
        <c:grouping val="clustered"/>
        <c:ser>
          <c:idx val="0"/>
          <c:order val="0"/>
          <c:tx>
            <c:strRef>
              <c:f>aglomeracja!$B$144</c:f>
              <c:strCache>
                <c:ptCount val="1"/>
                <c:pt idx="0">
                  <c:v>2009</c:v>
                </c:pt>
              </c:strCache>
            </c:strRef>
          </c:tx>
          <c:cat>
            <c:strRef>
              <c:f>aglomeracja!$A$119:$A$139</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aglomeracja!$D$147:$D$167</c:f>
              <c:numCache>
                <c:formatCode>0</c:formatCode>
                <c:ptCount val="21"/>
                <c:pt idx="0">
                  <c:v>8953</c:v>
                </c:pt>
                <c:pt idx="1">
                  <c:v>2929.818181818182</c:v>
                </c:pt>
                <c:pt idx="2">
                  <c:v>2231.3846153846148</c:v>
                </c:pt>
                <c:pt idx="3">
                  <c:v>2393.75</c:v>
                </c:pt>
                <c:pt idx="4">
                  <c:v>3029.75</c:v>
                </c:pt>
                <c:pt idx="5">
                  <c:v>4242.5</c:v>
                </c:pt>
                <c:pt idx="6">
                  <c:v>2439.7142857142198</c:v>
                </c:pt>
                <c:pt idx="7">
                  <c:v>3001.5</c:v>
                </c:pt>
                <c:pt idx="8">
                  <c:v>6073.3333333333285</c:v>
                </c:pt>
                <c:pt idx="9">
                  <c:v>4094.5</c:v>
                </c:pt>
                <c:pt idx="10">
                  <c:v>6693.3333333333285</c:v>
                </c:pt>
                <c:pt idx="11">
                  <c:v>3807.1428571428537</c:v>
                </c:pt>
                <c:pt idx="12">
                  <c:v>5411</c:v>
                </c:pt>
                <c:pt idx="13">
                  <c:v>2930</c:v>
                </c:pt>
                <c:pt idx="14">
                  <c:v>2923.25</c:v>
                </c:pt>
                <c:pt idx="15">
                  <c:v>3610</c:v>
                </c:pt>
                <c:pt idx="16">
                  <c:v>2456.1666666665988</c:v>
                </c:pt>
                <c:pt idx="17">
                  <c:v>2685.3125000000564</c:v>
                </c:pt>
                <c:pt idx="18">
                  <c:v>3507.3333333334822</c:v>
                </c:pt>
                <c:pt idx="19">
                  <c:v>2897.6</c:v>
                </c:pt>
                <c:pt idx="20">
                  <c:v>2689.6666666665988</c:v>
                </c:pt>
              </c:numCache>
            </c:numRef>
          </c:val>
        </c:ser>
        <c:ser>
          <c:idx val="1"/>
          <c:order val="1"/>
          <c:tx>
            <c:strRef>
              <c:f>aglomeracja!$C$144</c:f>
              <c:strCache>
                <c:ptCount val="1"/>
                <c:pt idx="0">
                  <c:v>2010</c:v>
                </c:pt>
              </c:strCache>
            </c:strRef>
          </c:tx>
          <c:cat>
            <c:strRef>
              <c:f>aglomeracja!$A$119:$A$139</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aglomeracja!$E$147:$E$167</c:f>
              <c:numCache>
                <c:formatCode>0</c:formatCode>
                <c:ptCount val="21"/>
                <c:pt idx="0">
                  <c:v>3004.3333333334822</c:v>
                </c:pt>
                <c:pt idx="1">
                  <c:v>2957.090909090909</c:v>
                </c:pt>
                <c:pt idx="2">
                  <c:v>1968</c:v>
                </c:pt>
                <c:pt idx="3">
                  <c:v>2408.75</c:v>
                </c:pt>
                <c:pt idx="4">
                  <c:v>3039.25</c:v>
                </c:pt>
                <c:pt idx="5">
                  <c:v>3694.1428571428537</c:v>
                </c:pt>
                <c:pt idx="6">
                  <c:v>1805.1</c:v>
                </c:pt>
                <c:pt idx="7">
                  <c:v>3156</c:v>
                </c:pt>
                <c:pt idx="8">
                  <c:v>6475</c:v>
                </c:pt>
                <c:pt idx="9">
                  <c:v>5513.6666666669644</c:v>
                </c:pt>
                <c:pt idx="10">
                  <c:v>4131.2</c:v>
                </c:pt>
                <c:pt idx="11">
                  <c:v>3005.8888888888887</c:v>
                </c:pt>
                <c:pt idx="12">
                  <c:v>4087.25</c:v>
                </c:pt>
                <c:pt idx="13">
                  <c:v>4478.75</c:v>
                </c:pt>
                <c:pt idx="14">
                  <c:v>6200</c:v>
                </c:pt>
                <c:pt idx="15">
                  <c:v>2431.5</c:v>
                </c:pt>
                <c:pt idx="16">
                  <c:v>1891.5</c:v>
                </c:pt>
                <c:pt idx="17">
                  <c:v>2730.25</c:v>
                </c:pt>
                <c:pt idx="18">
                  <c:v>3118.8571428572423</c:v>
                </c:pt>
                <c:pt idx="19">
                  <c:v>2430.4166666666647</c:v>
                </c:pt>
                <c:pt idx="20">
                  <c:v>2248</c:v>
                </c:pt>
              </c:numCache>
            </c:numRef>
          </c:val>
        </c:ser>
        <c:ser>
          <c:idx val="2"/>
          <c:order val="2"/>
          <c:spPr>
            <a:noFill/>
          </c:spPr>
          <c:trendline>
            <c:name>2009 Wielkopolska</c:name>
            <c:spPr>
              <a:ln w="25400">
                <a:solidFill>
                  <a:srgbClr val="0070C0"/>
                </a:solidFill>
              </a:ln>
            </c:spPr>
            <c:trendlineType val="linear"/>
          </c:trendline>
          <c:cat>
            <c:strRef>
              <c:f>aglomeracja!$A$119:$A$139</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aglomeracja!$F$147:$F$167</c:f>
              <c:numCache>
                <c:formatCode>General</c:formatCode>
                <c:ptCount val="21"/>
                <c:pt idx="0">
                  <c:v>2433</c:v>
                </c:pt>
                <c:pt idx="1">
                  <c:v>2433</c:v>
                </c:pt>
                <c:pt idx="2">
                  <c:v>2433</c:v>
                </c:pt>
                <c:pt idx="3">
                  <c:v>2433</c:v>
                </c:pt>
                <c:pt idx="4">
                  <c:v>2433</c:v>
                </c:pt>
                <c:pt idx="5">
                  <c:v>2433</c:v>
                </c:pt>
                <c:pt idx="6">
                  <c:v>2433</c:v>
                </c:pt>
                <c:pt idx="7">
                  <c:v>2433</c:v>
                </c:pt>
                <c:pt idx="8">
                  <c:v>2433</c:v>
                </c:pt>
                <c:pt idx="9">
                  <c:v>2433</c:v>
                </c:pt>
                <c:pt idx="10">
                  <c:v>2433</c:v>
                </c:pt>
                <c:pt idx="11">
                  <c:v>2433</c:v>
                </c:pt>
                <c:pt idx="12">
                  <c:v>2433</c:v>
                </c:pt>
                <c:pt idx="13">
                  <c:v>2433</c:v>
                </c:pt>
                <c:pt idx="14">
                  <c:v>2433</c:v>
                </c:pt>
                <c:pt idx="15">
                  <c:v>2433</c:v>
                </c:pt>
                <c:pt idx="16">
                  <c:v>2433</c:v>
                </c:pt>
                <c:pt idx="17">
                  <c:v>2433</c:v>
                </c:pt>
                <c:pt idx="18">
                  <c:v>2433</c:v>
                </c:pt>
                <c:pt idx="19">
                  <c:v>2433</c:v>
                </c:pt>
                <c:pt idx="20">
                  <c:v>2433</c:v>
                </c:pt>
              </c:numCache>
            </c:numRef>
          </c:val>
        </c:ser>
        <c:ser>
          <c:idx val="3"/>
          <c:order val="3"/>
          <c:spPr>
            <a:noFill/>
          </c:spPr>
          <c:trendline>
            <c:name>2010 Wielkopolska</c:name>
            <c:spPr>
              <a:ln w="25400">
                <a:solidFill>
                  <a:srgbClr val="C00000"/>
                </a:solidFill>
              </a:ln>
            </c:spPr>
            <c:trendlineType val="linear"/>
          </c:trendline>
          <c:cat>
            <c:strRef>
              <c:f>aglomeracja!$A$119:$A$139</c:f>
              <c:strCache>
                <c:ptCount val="21"/>
                <c:pt idx="0">
                  <c:v>Skoki</c:v>
                </c:pt>
                <c:pt idx="1">
                  <c:v>Oborniki</c:v>
                </c:pt>
                <c:pt idx="2">
                  <c:v>Luboń</c:v>
                </c:pt>
                <c:pt idx="3">
                  <c:v>Puszczykowo</c:v>
                </c:pt>
                <c:pt idx="4">
                  <c:v>Buk</c:v>
                </c:pt>
                <c:pt idx="5">
                  <c:v>Czerwonak</c:v>
                </c:pt>
                <c:pt idx="6">
                  <c:v>Dopiewo</c:v>
                </c:pt>
                <c:pt idx="7">
                  <c:v>Kleszczewo</c:v>
                </c:pt>
                <c:pt idx="8">
                  <c:v>Komorniki</c:v>
                </c:pt>
                <c:pt idx="9">
                  <c:v>Kostrzyn</c:v>
                </c:pt>
                <c:pt idx="10">
                  <c:v>Kórnik</c:v>
                </c:pt>
                <c:pt idx="11">
                  <c:v>Mosina</c:v>
                </c:pt>
                <c:pt idx="12">
                  <c:v>Murowana Goślina</c:v>
                </c:pt>
                <c:pt idx="13">
                  <c:v>Pobiedziska</c:v>
                </c:pt>
                <c:pt idx="14">
                  <c:v>Rokietnica</c:v>
                </c:pt>
                <c:pt idx="15">
                  <c:v>Stęszew</c:v>
                </c:pt>
                <c:pt idx="16">
                  <c:v>Suchy Las</c:v>
                </c:pt>
                <c:pt idx="17">
                  <c:v>Swarzędz</c:v>
                </c:pt>
                <c:pt idx="18">
                  <c:v>Tarnowo Podgórne</c:v>
                </c:pt>
                <c:pt idx="19">
                  <c:v>Szamotuły</c:v>
                </c:pt>
                <c:pt idx="20">
                  <c:v>Śrem</c:v>
                </c:pt>
              </c:strCache>
            </c:strRef>
          </c:cat>
          <c:val>
            <c:numRef>
              <c:f>aglomeracja!$G$147:$G$167</c:f>
              <c:numCache>
                <c:formatCode>General</c:formatCode>
                <c:ptCount val="21"/>
                <c:pt idx="0">
                  <c:v>2290</c:v>
                </c:pt>
                <c:pt idx="1">
                  <c:v>2290</c:v>
                </c:pt>
                <c:pt idx="2">
                  <c:v>2290</c:v>
                </c:pt>
                <c:pt idx="3">
                  <c:v>2290</c:v>
                </c:pt>
                <c:pt idx="4">
                  <c:v>2290</c:v>
                </c:pt>
                <c:pt idx="5">
                  <c:v>2290</c:v>
                </c:pt>
                <c:pt idx="6">
                  <c:v>2290</c:v>
                </c:pt>
                <c:pt idx="7">
                  <c:v>2290</c:v>
                </c:pt>
                <c:pt idx="8">
                  <c:v>2290</c:v>
                </c:pt>
                <c:pt idx="9">
                  <c:v>2290</c:v>
                </c:pt>
                <c:pt idx="10">
                  <c:v>2290</c:v>
                </c:pt>
                <c:pt idx="11">
                  <c:v>2290</c:v>
                </c:pt>
                <c:pt idx="12">
                  <c:v>2290</c:v>
                </c:pt>
                <c:pt idx="13">
                  <c:v>2290</c:v>
                </c:pt>
                <c:pt idx="14">
                  <c:v>2290</c:v>
                </c:pt>
                <c:pt idx="15">
                  <c:v>2290</c:v>
                </c:pt>
                <c:pt idx="16">
                  <c:v>2290</c:v>
                </c:pt>
                <c:pt idx="17">
                  <c:v>2290</c:v>
                </c:pt>
                <c:pt idx="18">
                  <c:v>2290</c:v>
                </c:pt>
                <c:pt idx="19">
                  <c:v>2290</c:v>
                </c:pt>
                <c:pt idx="20">
                  <c:v>2290</c:v>
                </c:pt>
              </c:numCache>
            </c:numRef>
          </c:val>
        </c:ser>
        <c:gapWidth val="0"/>
        <c:axId val="108518016"/>
        <c:axId val="108622208"/>
      </c:barChart>
      <c:catAx>
        <c:axId val="108518016"/>
        <c:scaling>
          <c:orientation val="minMax"/>
        </c:scaling>
        <c:axPos val="l"/>
        <c:tickLblPos val="nextTo"/>
        <c:txPr>
          <a:bodyPr/>
          <a:lstStyle/>
          <a:p>
            <a:pPr>
              <a:defRPr sz="800"/>
            </a:pPr>
            <a:endParaRPr lang="pl-PL"/>
          </a:p>
        </c:txPr>
        <c:crossAx val="108622208"/>
        <c:crosses val="autoZero"/>
        <c:auto val="1"/>
        <c:lblAlgn val="ctr"/>
        <c:lblOffset val="100"/>
      </c:catAx>
      <c:valAx>
        <c:axId val="108622208"/>
        <c:scaling>
          <c:orientation val="minMax"/>
          <c:max val="9000"/>
        </c:scaling>
        <c:axPos val="b"/>
        <c:majorGridlines/>
        <c:title>
          <c:tx>
            <c:rich>
              <a:bodyPr/>
              <a:lstStyle/>
              <a:p>
                <a:pPr>
                  <a:defRPr/>
                </a:pPr>
                <a:r>
                  <a:rPr lang="pl-PL" sz="800" b="0"/>
                  <a:t>Liczba osób w tys.</a:t>
                </a:r>
              </a:p>
            </c:rich>
          </c:tx>
        </c:title>
        <c:numFmt formatCode="0" sourceLinked="1"/>
        <c:tickLblPos val="nextTo"/>
        <c:txPr>
          <a:bodyPr/>
          <a:lstStyle/>
          <a:p>
            <a:pPr>
              <a:defRPr sz="800"/>
            </a:pPr>
            <a:endParaRPr lang="pl-PL"/>
          </a:p>
        </c:txPr>
        <c:crossAx val="108518016"/>
        <c:crosses val="autoZero"/>
        <c:crossBetween val="between"/>
        <c:majorUnit val="1000"/>
        <c:minorUnit val="400"/>
        <c:dispUnits>
          <c:builtInUnit val="thousands"/>
        </c:dispUnits>
      </c:valAx>
      <c:spPr>
        <a:solidFill>
          <a:sysClr val="window" lastClr="FFFFFF">
            <a:lumMod val="95000"/>
          </a:sysClr>
        </a:solidFill>
      </c:spPr>
    </c:plotArea>
    <c:legend>
      <c:legendPos val="r"/>
      <c:legendEntry>
        <c:idx val="1"/>
        <c:delete val="1"/>
      </c:legendEntry>
      <c:legendEntry>
        <c:idx val="0"/>
        <c:delete val="1"/>
      </c:legendEntry>
      <c:layout>
        <c:manualLayout>
          <c:xMode val="edge"/>
          <c:yMode val="edge"/>
          <c:x val="0.66248600174978123"/>
          <c:y val="0.65619644265596011"/>
          <c:w val="0.31529177602799652"/>
          <c:h val="0.18760701959128143"/>
        </c:manualLayout>
      </c:layout>
      <c:spPr>
        <a:solidFill>
          <a:schemeClr val="bg1">
            <a:lumMod val="95000"/>
          </a:schemeClr>
        </a:solidFill>
      </c:spPr>
      <c:txPr>
        <a:bodyPr/>
        <a:lstStyle/>
        <a:p>
          <a:pPr>
            <a:defRPr sz="800"/>
          </a:pPr>
          <a:endParaRPr lang="pl-PL"/>
        </a:p>
      </c:txPr>
    </c:legend>
    <c:plotVisOnly val="1"/>
  </c:chart>
  <c:spPr>
    <a:solidFill>
      <a:sysClr val="window" lastClr="FFFFFF">
        <a:lumMod val="95000"/>
      </a:sysClr>
    </a:solidFill>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900"/>
            </a:pPr>
            <a:r>
              <a:rPr lang="pl-PL" sz="900"/>
              <a:t>Wybrane gminy miejsko-wiejskie</a:t>
            </a:r>
            <a:r>
              <a:rPr lang="pl-PL" sz="900" baseline="0"/>
              <a:t> o porównywalnej wielkości - liczba ludności na 1 zakład opieki zdrowotnej w latach 2009 i 2010</a:t>
            </a:r>
            <a:endParaRPr lang="pl-PL" sz="900"/>
          </a:p>
        </c:rich>
      </c:tx>
      <c:layout>
        <c:manualLayout>
          <c:xMode val="edge"/>
          <c:yMode val="edge"/>
          <c:x val="0.10094755631457385"/>
          <c:y val="0"/>
        </c:manualLayout>
      </c:layout>
    </c:title>
    <c:plotArea>
      <c:layout>
        <c:manualLayout>
          <c:layoutTarget val="inner"/>
          <c:xMode val="edge"/>
          <c:yMode val="edge"/>
          <c:x val="0.38059876673526094"/>
          <c:y val="0.14264558980490191"/>
          <c:w val="0.54882211243064072"/>
          <c:h val="0.76007088730914718"/>
        </c:manualLayout>
      </c:layout>
      <c:barChart>
        <c:barDir val="bar"/>
        <c:grouping val="clustered"/>
        <c:ser>
          <c:idx val="0"/>
          <c:order val="0"/>
          <c:tx>
            <c:strRef>
              <c:f>'gm. 15-20 tys.'!$D$95</c:f>
              <c:strCache>
                <c:ptCount val="1"/>
                <c:pt idx="0">
                  <c:v>liczba ludności</c:v>
                </c:pt>
              </c:strCache>
            </c:strRef>
          </c:tx>
          <c:cat>
            <c:strRef>
              <c:f>'gm. 15-20 tys.'!$A$97:$A$106</c:f>
              <c:strCache>
                <c:ptCount val="10"/>
                <c:pt idx="0">
                  <c:v> WIELKOPOLSKIE</c:v>
                </c:pt>
                <c:pt idx="1">
                  <c:v>Nowe Skalmierzyce</c:v>
                </c:pt>
                <c:pt idx="2">
                  <c:v>Grodzisk Wielkopolski</c:v>
                </c:pt>
                <c:pt idx="3">
                  <c:v>Śmigiel</c:v>
                </c:pt>
                <c:pt idx="4">
                  <c:v>Międzychód</c:v>
                </c:pt>
                <c:pt idx="5">
                  <c:v>Opalenica</c:v>
                </c:pt>
                <c:pt idx="6">
                  <c:v>Rogoźno</c:v>
                </c:pt>
                <c:pt idx="7">
                  <c:v>Kostrzyn</c:v>
                </c:pt>
                <c:pt idx="8">
                  <c:v>Murowana Goślina</c:v>
                </c:pt>
                <c:pt idx="9">
                  <c:v>Pobiedziska</c:v>
                </c:pt>
              </c:strCache>
            </c:strRef>
          </c:cat>
          <c:val>
            <c:numRef>
              <c:f>'gm. 15-20 tys.'!$F$97:$F$106</c:f>
              <c:numCache>
                <c:formatCode>0.0</c:formatCode>
                <c:ptCount val="10"/>
                <c:pt idx="0">
                  <c:v>2432.74875089222</c:v>
                </c:pt>
                <c:pt idx="1">
                  <c:v>3799.5</c:v>
                </c:pt>
                <c:pt idx="2">
                  <c:v>2710.7142857142389</c:v>
                </c:pt>
                <c:pt idx="3">
                  <c:v>3508.6</c:v>
                </c:pt>
                <c:pt idx="4">
                  <c:v>3068</c:v>
                </c:pt>
                <c:pt idx="5">
                  <c:v>1969.75</c:v>
                </c:pt>
                <c:pt idx="6">
                  <c:v>4392.25</c:v>
                </c:pt>
                <c:pt idx="7">
                  <c:v>4094.5</c:v>
                </c:pt>
                <c:pt idx="8">
                  <c:v>5411</c:v>
                </c:pt>
                <c:pt idx="9">
                  <c:v>2930</c:v>
                </c:pt>
              </c:numCache>
            </c:numRef>
          </c:val>
        </c:ser>
        <c:ser>
          <c:idx val="1"/>
          <c:order val="1"/>
          <c:tx>
            <c:strRef>
              <c:f>'gm. 15-20 tys.'!$E$95</c:f>
              <c:strCache>
                <c:ptCount val="1"/>
              </c:strCache>
            </c:strRef>
          </c:tx>
          <c:cat>
            <c:strRef>
              <c:f>'gm. 15-20 tys.'!$A$97:$A$106</c:f>
              <c:strCache>
                <c:ptCount val="10"/>
                <c:pt idx="0">
                  <c:v> WIELKOPOLSKIE</c:v>
                </c:pt>
                <c:pt idx="1">
                  <c:v>Nowe Skalmierzyce</c:v>
                </c:pt>
                <c:pt idx="2">
                  <c:v>Grodzisk Wielkopolski</c:v>
                </c:pt>
                <c:pt idx="3">
                  <c:v>Śmigiel</c:v>
                </c:pt>
                <c:pt idx="4">
                  <c:v>Międzychód</c:v>
                </c:pt>
                <c:pt idx="5">
                  <c:v>Opalenica</c:v>
                </c:pt>
                <c:pt idx="6">
                  <c:v>Rogoźno</c:v>
                </c:pt>
                <c:pt idx="7">
                  <c:v>Kostrzyn</c:v>
                </c:pt>
                <c:pt idx="8">
                  <c:v>Murowana Goślina</c:v>
                </c:pt>
                <c:pt idx="9">
                  <c:v>Pobiedziska</c:v>
                </c:pt>
              </c:strCache>
            </c:strRef>
          </c:cat>
          <c:val>
            <c:numRef>
              <c:f>'gm. 15-20 tys.'!$G$97:$G$106</c:f>
              <c:numCache>
                <c:formatCode>0.0</c:formatCode>
                <c:ptCount val="10"/>
                <c:pt idx="0">
                  <c:v>2290.3054253181513</c:v>
                </c:pt>
                <c:pt idx="1">
                  <c:v>3806.5</c:v>
                </c:pt>
                <c:pt idx="2">
                  <c:v>2723.2857142857142</c:v>
                </c:pt>
                <c:pt idx="3">
                  <c:v>2934.5</c:v>
                </c:pt>
                <c:pt idx="4">
                  <c:v>3070</c:v>
                </c:pt>
                <c:pt idx="5">
                  <c:v>1766.4444444444428</c:v>
                </c:pt>
                <c:pt idx="6">
                  <c:v>4401.75</c:v>
                </c:pt>
                <c:pt idx="7">
                  <c:v>5513.6666666668789</c:v>
                </c:pt>
                <c:pt idx="8">
                  <c:v>4087.25</c:v>
                </c:pt>
                <c:pt idx="9">
                  <c:v>4478.75</c:v>
                </c:pt>
              </c:numCache>
            </c:numRef>
          </c:val>
        </c:ser>
        <c:ser>
          <c:idx val="2"/>
          <c:order val="2"/>
          <c:spPr>
            <a:noFill/>
          </c:spPr>
          <c:trendline>
            <c:name>2009 Wielkopolska</c:name>
            <c:spPr>
              <a:ln w="25400">
                <a:solidFill>
                  <a:srgbClr val="0070C0"/>
                </a:solidFill>
              </a:ln>
            </c:spPr>
            <c:trendlineType val="linear"/>
          </c:trendline>
          <c:cat>
            <c:strRef>
              <c:f>'gm. 15-20 tys.'!$A$97:$A$106</c:f>
              <c:strCache>
                <c:ptCount val="10"/>
                <c:pt idx="0">
                  <c:v> WIELKOPOLSKIE</c:v>
                </c:pt>
                <c:pt idx="1">
                  <c:v>Nowe Skalmierzyce</c:v>
                </c:pt>
                <c:pt idx="2">
                  <c:v>Grodzisk Wielkopolski</c:v>
                </c:pt>
                <c:pt idx="3">
                  <c:v>Śmigiel</c:v>
                </c:pt>
                <c:pt idx="4">
                  <c:v>Międzychód</c:v>
                </c:pt>
                <c:pt idx="5">
                  <c:v>Opalenica</c:v>
                </c:pt>
                <c:pt idx="6">
                  <c:v>Rogoźno</c:v>
                </c:pt>
                <c:pt idx="7">
                  <c:v>Kostrzyn</c:v>
                </c:pt>
                <c:pt idx="8">
                  <c:v>Murowana Goślina</c:v>
                </c:pt>
                <c:pt idx="9">
                  <c:v>Pobiedziska</c:v>
                </c:pt>
              </c:strCache>
            </c:strRef>
          </c:cat>
          <c:val>
            <c:numRef>
              <c:f>'gm. 15-20 tys.'!$H$97:$H$106</c:f>
              <c:numCache>
                <c:formatCode>0.0</c:formatCode>
                <c:ptCount val="10"/>
                <c:pt idx="1">
                  <c:v>2432.74875089222</c:v>
                </c:pt>
                <c:pt idx="2">
                  <c:v>2432.74875089222</c:v>
                </c:pt>
                <c:pt idx="3">
                  <c:v>2432.74875089222</c:v>
                </c:pt>
                <c:pt idx="4">
                  <c:v>2432.74875089222</c:v>
                </c:pt>
                <c:pt idx="5">
                  <c:v>2432.74875089222</c:v>
                </c:pt>
                <c:pt idx="6">
                  <c:v>2432.74875089222</c:v>
                </c:pt>
                <c:pt idx="7">
                  <c:v>2432.74875089222</c:v>
                </c:pt>
                <c:pt idx="8">
                  <c:v>2432.74875089222</c:v>
                </c:pt>
                <c:pt idx="9">
                  <c:v>2432.74875089222</c:v>
                </c:pt>
              </c:numCache>
            </c:numRef>
          </c:val>
        </c:ser>
        <c:ser>
          <c:idx val="3"/>
          <c:order val="3"/>
          <c:spPr>
            <a:noFill/>
          </c:spPr>
          <c:trendline>
            <c:name>2010 Wielkopolska</c:name>
            <c:spPr>
              <a:ln w="25400">
                <a:solidFill>
                  <a:srgbClr val="C00000"/>
                </a:solidFill>
              </a:ln>
            </c:spPr>
            <c:trendlineType val="linear"/>
          </c:trendline>
          <c:cat>
            <c:strRef>
              <c:f>'gm. 15-20 tys.'!$A$97:$A$106</c:f>
              <c:strCache>
                <c:ptCount val="10"/>
                <c:pt idx="0">
                  <c:v> WIELKOPOLSKIE</c:v>
                </c:pt>
                <c:pt idx="1">
                  <c:v>Nowe Skalmierzyce</c:v>
                </c:pt>
                <c:pt idx="2">
                  <c:v>Grodzisk Wielkopolski</c:v>
                </c:pt>
                <c:pt idx="3">
                  <c:v>Śmigiel</c:v>
                </c:pt>
                <c:pt idx="4">
                  <c:v>Międzychód</c:v>
                </c:pt>
                <c:pt idx="5">
                  <c:v>Opalenica</c:v>
                </c:pt>
                <c:pt idx="6">
                  <c:v>Rogoźno</c:v>
                </c:pt>
                <c:pt idx="7">
                  <c:v>Kostrzyn</c:v>
                </c:pt>
                <c:pt idx="8">
                  <c:v>Murowana Goślina</c:v>
                </c:pt>
                <c:pt idx="9">
                  <c:v>Pobiedziska</c:v>
                </c:pt>
              </c:strCache>
            </c:strRef>
          </c:cat>
          <c:val>
            <c:numRef>
              <c:f>'gm. 15-20 tys.'!$I$97:$I$106</c:f>
              <c:numCache>
                <c:formatCode>0.0</c:formatCode>
                <c:ptCount val="10"/>
                <c:pt idx="1">
                  <c:v>2290.3054253181513</c:v>
                </c:pt>
                <c:pt idx="2">
                  <c:v>2290.3054253181513</c:v>
                </c:pt>
                <c:pt idx="3">
                  <c:v>2290.3054253181513</c:v>
                </c:pt>
                <c:pt idx="4">
                  <c:v>2290.3054253181513</c:v>
                </c:pt>
                <c:pt idx="5">
                  <c:v>2290.3054253181513</c:v>
                </c:pt>
                <c:pt idx="6">
                  <c:v>2290.3054253181513</c:v>
                </c:pt>
                <c:pt idx="7">
                  <c:v>2290.3054253181513</c:v>
                </c:pt>
                <c:pt idx="8">
                  <c:v>2290.3054253181513</c:v>
                </c:pt>
                <c:pt idx="9">
                  <c:v>2290.3054253181513</c:v>
                </c:pt>
              </c:numCache>
            </c:numRef>
          </c:val>
        </c:ser>
        <c:gapWidth val="0"/>
        <c:axId val="108659072"/>
        <c:axId val="108660608"/>
      </c:barChart>
      <c:catAx>
        <c:axId val="108659072"/>
        <c:scaling>
          <c:orientation val="minMax"/>
        </c:scaling>
        <c:axPos val="l"/>
        <c:tickLblPos val="nextTo"/>
        <c:txPr>
          <a:bodyPr/>
          <a:lstStyle/>
          <a:p>
            <a:pPr>
              <a:defRPr sz="800"/>
            </a:pPr>
            <a:endParaRPr lang="pl-PL"/>
          </a:p>
        </c:txPr>
        <c:crossAx val="108660608"/>
        <c:crosses val="autoZero"/>
        <c:auto val="1"/>
        <c:lblAlgn val="ctr"/>
        <c:lblOffset val="100"/>
      </c:catAx>
      <c:valAx>
        <c:axId val="108660608"/>
        <c:scaling>
          <c:orientation val="minMax"/>
        </c:scaling>
        <c:axPos val="b"/>
        <c:majorGridlines/>
        <c:title>
          <c:tx>
            <c:rich>
              <a:bodyPr/>
              <a:lstStyle/>
              <a:p>
                <a:pPr>
                  <a:defRPr/>
                </a:pPr>
                <a:r>
                  <a:rPr lang="pl-PL" sz="800" b="0"/>
                  <a:t>Liczba osób w tys.</a:t>
                </a:r>
              </a:p>
            </c:rich>
          </c:tx>
          <c:layout>
            <c:manualLayout>
              <c:xMode val="edge"/>
              <c:yMode val="edge"/>
              <c:x val="0.85375814345445733"/>
              <c:y val="0.95552945107136578"/>
            </c:manualLayout>
          </c:layout>
        </c:title>
        <c:numFmt formatCode="0" sourceLinked="0"/>
        <c:tickLblPos val="nextTo"/>
        <c:txPr>
          <a:bodyPr/>
          <a:lstStyle/>
          <a:p>
            <a:pPr>
              <a:defRPr sz="800"/>
            </a:pPr>
            <a:endParaRPr lang="pl-PL"/>
          </a:p>
        </c:txPr>
        <c:crossAx val="108659072"/>
        <c:crosses val="autoZero"/>
        <c:crossBetween val="between"/>
        <c:majorUnit val="1000"/>
        <c:dispUnits>
          <c:builtInUnit val="thousands"/>
        </c:dispUnits>
      </c:valAx>
      <c:spPr>
        <a:solidFill>
          <a:sysClr val="window" lastClr="FFFFFF">
            <a:lumMod val="95000"/>
          </a:sysClr>
        </a:solidFill>
      </c:spPr>
    </c:plotArea>
    <c:plotVisOnly val="1"/>
  </c:chart>
  <c:spPr>
    <a:solidFill>
      <a:sysClr val="window" lastClr="FFFFFF">
        <a:lumMod val="95000"/>
      </a:sysClr>
    </a:solidFill>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000"/>
              <a:t>Rzeczywista liczba rodzin objęta pomocą społeczną</a:t>
            </a:r>
            <a:r>
              <a:rPr lang="pl-PL" sz="1000" baseline="0"/>
              <a:t> </a:t>
            </a:r>
            <a:r>
              <a:rPr lang="pl-PL" sz="1000"/>
              <a:t>w latach od</a:t>
            </a:r>
            <a:r>
              <a:rPr lang="pl-PL" sz="1000" baseline="0"/>
              <a:t> </a:t>
            </a:r>
            <a:r>
              <a:rPr lang="pl-PL" sz="1000"/>
              <a:t>2008 do VI 2011r.</a:t>
            </a:r>
          </a:p>
        </c:rich>
      </c:tx>
    </c:title>
    <c:plotArea>
      <c:layout/>
      <c:barChart>
        <c:barDir val="col"/>
        <c:grouping val="clustered"/>
        <c:ser>
          <c:idx val="0"/>
          <c:order val="0"/>
          <c:dLbls>
            <c:txPr>
              <a:bodyPr/>
              <a:lstStyle/>
              <a:p>
                <a:pPr>
                  <a:defRPr sz="900"/>
                </a:pPr>
                <a:endParaRPr lang="pl-PL"/>
              </a:p>
            </c:txPr>
            <c:dLblPos val="ctr"/>
            <c:showVal val="1"/>
          </c:dLbls>
          <c:cat>
            <c:strRef>
              <c:f>dane!$B$102:$E$102</c:f>
              <c:strCache>
                <c:ptCount val="4"/>
                <c:pt idx="0">
                  <c:v>2008</c:v>
                </c:pt>
                <c:pt idx="1">
                  <c:v>2009</c:v>
                </c:pt>
                <c:pt idx="2">
                  <c:v>2010</c:v>
                </c:pt>
                <c:pt idx="3">
                  <c:v>do VI 2011</c:v>
                </c:pt>
              </c:strCache>
            </c:strRef>
          </c:cat>
          <c:val>
            <c:numRef>
              <c:f>dane!$B$116:$E$116</c:f>
              <c:numCache>
                <c:formatCode>General</c:formatCode>
                <c:ptCount val="4"/>
                <c:pt idx="0">
                  <c:v>509</c:v>
                </c:pt>
                <c:pt idx="1">
                  <c:v>581</c:v>
                </c:pt>
                <c:pt idx="2">
                  <c:v>588</c:v>
                </c:pt>
                <c:pt idx="3">
                  <c:v>327</c:v>
                </c:pt>
              </c:numCache>
            </c:numRef>
          </c:val>
        </c:ser>
        <c:axId val="108677376"/>
        <c:axId val="108687360"/>
      </c:barChart>
      <c:catAx>
        <c:axId val="108677376"/>
        <c:scaling>
          <c:orientation val="minMax"/>
        </c:scaling>
        <c:axPos val="b"/>
        <c:tickLblPos val="nextTo"/>
        <c:txPr>
          <a:bodyPr/>
          <a:lstStyle/>
          <a:p>
            <a:pPr>
              <a:defRPr sz="900"/>
            </a:pPr>
            <a:endParaRPr lang="pl-PL"/>
          </a:p>
        </c:txPr>
        <c:crossAx val="108687360"/>
        <c:crosses val="autoZero"/>
        <c:auto val="1"/>
        <c:lblAlgn val="ctr"/>
        <c:lblOffset val="100"/>
      </c:catAx>
      <c:valAx>
        <c:axId val="108687360"/>
        <c:scaling>
          <c:orientation val="minMax"/>
          <c:max val="600"/>
        </c:scaling>
        <c:axPos val="l"/>
        <c:majorGridlines/>
        <c:numFmt formatCode="General" sourceLinked="1"/>
        <c:tickLblPos val="nextTo"/>
        <c:txPr>
          <a:bodyPr/>
          <a:lstStyle/>
          <a:p>
            <a:pPr>
              <a:defRPr sz="900"/>
            </a:pPr>
            <a:endParaRPr lang="pl-PL"/>
          </a:p>
        </c:txPr>
        <c:crossAx val="108677376"/>
        <c:crosses val="autoZero"/>
        <c:crossBetween val="between"/>
        <c:majorUnit val="100"/>
      </c:valAx>
      <c:spPr>
        <a:solidFill>
          <a:sysClr val="window" lastClr="FFFFFF">
            <a:lumMod val="95000"/>
          </a:sysClr>
        </a:solidFill>
      </c:spPr>
    </c:plotArea>
    <c:plotVisOnly val="1"/>
  </c:chart>
  <c:spPr>
    <a:solidFill>
      <a:schemeClr val="bg1">
        <a:lumMod val="95000"/>
      </a:schemeClr>
    </a:solidFill>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000" b="1" i="0" u="none" strike="noStrike" baseline="0"/>
              <a:t>Przyczyny udzielenia pomocy społecznej rodzinom w 2010 r.</a:t>
            </a:r>
            <a:endParaRPr lang="pl-PL" sz="1000"/>
          </a:p>
        </c:rich>
      </c:tx>
    </c:title>
    <c:plotArea>
      <c:layout>
        <c:manualLayout>
          <c:layoutTarget val="inner"/>
          <c:xMode val="edge"/>
          <c:yMode val="edge"/>
          <c:x val="0.14081626255050941"/>
          <c:y val="0.18556549604087588"/>
          <c:w val="0.50957130358705149"/>
          <c:h val="0.84928550597841934"/>
        </c:manualLayout>
      </c:layout>
      <c:pieChart>
        <c:varyColors val="1"/>
        <c:ser>
          <c:idx val="0"/>
          <c:order val="0"/>
          <c:dLbls>
            <c:dLbl>
              <c:idx val="2"/>
              <c:layout>
                <c:manualLayout>
                  <c:x val="1.717014025808114E-2"/>
                  <c:y val="-7.508734354227338E-2"/>
                </c:manualLayout>
              </c:layout>
              <c:showCatName val="1"/>
              <c:showPercent val="1"/>
            </c:dLbl>
            <c:txPr>
              <a:bodyPr/>
              <a:lstStyle/>
              <a:p>
                <a:pPr>
                  <a:defRPr sz="800"/>
                </a:pPr>
                <a:endParaRPr lang="pl-PL"/>
              </a:p>
            </c:txPr>
            <c:showCatName val="1"/>
            <c:showPercent val="1"/>
            <c:showLeaderLines val="1"/>
          </c:dLbls>
          <c:cat>
            <c:strRef>
              <c:f>dane!$A$103:$A$115</c:f>
              <c:strCache>
                <c:ptCount val="9"/>
                <c:pt idx="0">
                  <c:v>ubóstwo</c:v>
                </c:pt>
                <c:pt idx="1">
                  <c:v>bezrobocie</c:v>
                </c:pt>
                <c:pt idx="2">
                  <c:v>niepełnosprawność</c:v>
                </c:pt>
                <c:pt idx="3">
                  <c:v>długotrwała lub ciężka choroba</c:v>
                </c:pt>
                <c:pt idx="4">
                  <c:v>potrzeba ochrony macierzyństwa</c:v>
                </c:pt>
                <c:pt idx="5">
                  <c:v>bezradność w sprawach opiekuńczo-wychowawczych</c:v>
                </c:pt>
                <c:pt idx="6">
                  <c:v>zdarzenie losowe i klęska żywiołowa</c:v>
                </c:pt>
                <c:pt idx="7">
                  <c:v>alkoholizm</c:v>
                </c:pt>
                <c:pt idx="8">
                  <c:v>inne</c:v>
                </c:pt>
              </c:strCache>
            </c:strRef>
          </c:cat>
          <c:val>
            <c:numRef>
              <c:f>dane!$D$103:$D$115</c:f>
              <c:numCache>
                <c:formatCode>General</c:formatCode>
                <c:ptCount val="13"/>
                <c:pt idx="0">
                  <c:v>143</c:v>
                </c:pt>
                <c:pt idx="1">
                  <c:v>109</c:v>
                </c:pt>
                <c:pt idx="2">
                  <c:v>94</c:v>
                </c:pt>
                <c:pt idx="3">
                  <c:v>81</c:v>
                </c:pt>
                <c:pt idx="4">
                  <c:v>66</c:v>
                </c:pt>
                <c:pt idx="5">
                  <c:v>32</c:v>
                </c:pt>
                <c:pt idx="6">
                  <c:v>16</c:v>
                </c:pt>
                <c:pt idx="7">
                  <c:v>14</c:v>
                </c:pt>
                <c:pt idx="8">
                  <c:v>24</c:v>
                </c:pt>
              </c:numCache>
            </c:numRef>
          </c:val>
        </c:ser>
        <c:dLbls>
          <c:showCatName val="1"/>
          <c:showPercent val="1"/>
        </c:dLbls>
        <c:firstSliceAng val="117"/>
      </c:pieChart>
    </c:plotArea>
    <c:plotVisOnly val="1"/>
  </c:chart>
  <c:spPr>
    <a:solidFill>
      <a:sysClr val="window" lastClr="FFFFFF">
        <a:lumMod val="95000"/>
      </a:sysClr>
    </a:solid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1000"/>
            </a:pPr>
            <a:r>
              <a:rPr lang="en-US" sz="1000"/>
              <a:t>Wskaźnik obciążenia demograficznego - </a:t>
            </a:r>
            <a:r>
              <a:rPr lang="pl-PL" sz="1000"/>
              <a:t>gmina Pobiedziska </a:t>
            </a:r>
            <a:r>
              <a:rPr lang="en-US" sz="1000"/>
              <a:t>na tle </a:t>
            </a:r>
            <a:r>
              <a:rPr lang="pl-PL" sz="1000"/>
              <a:t>wielkopolskich </a:t>
            </a:r>
            <a:r>
              <a:rPr lang="en-US" sz="1000"/>
              <a:t>gmin miejsk</a:t>
            </a:r>
            <a:r>
              <a:rPr lang="pl-PL" sz="1000"/>
              <a:t>o-wiejskich o podobnej liczbie ludności</a:t>
            </a:r>
            <a:endParaRPr lang="en-US" sz="1000"/>
          </a:p>
        </c:rich>
      </c:tx>
    </c:title>
    <c:plotArea>
      <c:layout>
        <c:manualLayout>
          <c:layoutTarget val="inner"/>
          <c:xMode val="edge"/>
          <c:yMode val="edge"/>
          <c:x val="0.27403462739598161"/>
          <c:y val="0.16131183862433859"/>
          <c:w val="0.69704402644540486"/>
          <c:h val="0.73016005291005293"/>
        </c:manualLayout>
      </c:layout>
      <c:barChart>
        <c:barDir val="bar"/>
        <c:grouping val="stacked"/>
        <c:ser>
          <c:idx val="0"/>
          <c:order val="0"/>
          <c:dPt>
            <c:idx val="5"/>
            <c:spPr>
              <a:solidFill>
                <a:schemeClr val="accent2">
                  <a:lumMod val="75000"/>
                </a:schemeClr>
              </a:solidFill>
            </c:spPr>
          </c:dPt>
          <c:dLbls>
            <c:txPr>
              <a:bodyPr/>
              <a:lstStyle/>
              <a:p>
                <a:pPr>
                  <a:defRPr sz="900"/>
                </a:pPr>
                <a:endParaRPr lang="pl-PL"/>
              </a:p>
            </c:txPr>
            <c:dLblPos val="inEnd"/>
            <c:showVal val="1"/>
          </c:dLbls>
          <c:cat>
            <c:strRef>
              <c:f>'miasta do porównania'!$I$12:$I$31</c:f>
              <c:strCache>
                <c:ptCount val="10"/>
                <c:pt idx="0">
                  <c:v>Murowana Goślina</c:v>
                </c:pt>
                <c:pt idx="1">
                  <c:v>Grodzisk Wielkopolski</c:v>
                </c:pt>
                <c:pt idx="2">
                  <c:v>Międzychód</c:v>
                </c:pt>
                <c:pt idx="3">
                  <c:v>Nowe Skalmierzyce</c:v>
                </c:pt>
                <c:pt idx="4">
                  <c:v>Wronki</c:v>
                </c:pt>
                <c:pt idx="5">
                  <c:v>Pobiedziska</c:v>
                </c:pt>
                <c:pt idx="6">
                  <c:v>Kostrzyn</c:v>
                </c:pt>
                <c:pt idx="7">
                  <c:v>Opalenica</c:v>
                </c:pt>
                <c:pt idx="8">
                  <c:v>Śmigiel</c:v>
                </c:pt>
                <c:pt idx="9">
                  <c:v>Rogoźno</c:v>
                </c:pt>
              </c:strCache>
            </c:strRef>
          </c:cat>
          <c:val>
            <c:numRef>
              <c:f>'miasta do porównania'!$H$12:$H$21</c:f>
              <c:numCache>
                <c:formatCode>#,##0.0</c:formatCode>
                <c:ptCount val="10"/>
                <c:pt idx="0">
                  <c:v>43.2</c:v>
                </c:pt>
                <c:pt idx="1">
                  <c:v>52</c:v>
                </c:pt>
                <c:pt idx="2">
                  <c:v>52.5</c:v>
                </c:pt>
                <c:pt idx="3">
                  <c:v>52.9</c:v>
                </c:pt>
                <c:pt idx="4">
                  <c:v>52.9</c:v>
                </c:pt>
                <c:pt idx="5">
                  <c:v>53</c:v>
                </c:pt>
                <c:pt idx="6">
                  <c:v>53.3</c:v>
                </c:pt>
                <c:pt idx="7">
                  <c:v>53.5</c:v>
                </c:pt>
                <c:pt idx="8">
                  <c:v>53.8</c:v>
                </c:pt>
                <c:pt idx="9">
                  <c:v>55.5</c:v>
                </c:pt>
              </c:numCache>
            </c:numRef>
          </c:val>
        </c:ser>
        <c:gapWidth val="55"/>
        <c:overlap val="100"/>
        <c:axId val="130408832"/>
        <c:axId val="130410368"/>
      </c:barChart>
      <c:catAx>
        <c:axId val="130408832"/>
        <c:scaling>
          <c:orientation val="minMax"/>
        </c:scaling>
        <c:axPos val="l"/>
        <c:numFmt formatCode="General" sourceLinked="1"/>
        <c:majorTickMark val="none"/>
        <c:tickLblPos val="nextTo"/>
        <c:txPr>
          <a:bodyPr/>
          <a:lstStyle/>
          <a:p>
            <a:pPr>
              <a:defRPr sz="900"/>
            </a:pPr>
            <a:endParaRPr lang="pl-PL"/>
          </a:p>
        </c:txPr>
        <c:crossAx val="130410368"/>
        <c:crosses val="autoZero"/>
        <c:auto val="1"/>
        <c:lblAlgn val="ctr"/>
        <c:lblOffset val="100"/>
      </c:catAx>
      <c:valAx>
        <c:axId val="130410368"/>
        <c:scaling>
          <c:orientation val="minMax"/>
        </c:scaling>
        <c:axPos val="b"/>
        <c:majorGridlines/>
        <c:numFmt formatCode="#,##0" sourceLinked="0"/>
        <c:majorTickMark val="none"/>
        <c:tickLblPos val="nextTo"/>
        <c:txPr>
          <a:bodyPr/>
          <a:lstStyle/>
          <a:p>
            <a:pPr>
              <a:defRPr sz="900"/>
            </a:pPr>
            <a:endParaRPr lang="pl-PL"/>
          </a:p>
        </c:txPr>
        <c:crossAx val="130408832"/>
        <c:crosses val="autoZero"/>
        <c:crossBetween val="between"/>
      </c:valAx>
      <c:spPr>
        <a:solidFill>
          <a:schemeClr val="bg1">
            <a:lumMod val="95000"/>
          </a:schemeClr>
        </a:solidFill>
      </c:spPr>
    </c:plotArea>
    <c:plotVisOnly val="1"/>
    <c:dispBlanksAs val="gap"/>
  </c:chart>
  <c:spPr>
    <a:solidFill>
      <a:schemeClr val="bg1">
        <a:lumMod val="95000"/>
      </a:schemeClr>
    </a:solidFill>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000"/>
              <a:t>Liczba zdarzeń w ruchu kołowym w gminie Pobiedziska</a:t>
            </a:r>
          </a:p>
        </c:rich>
      </c:tx>
    </c:title>
    <c:plotArea>
      <c:layout/>
      <c:lineChart>
        <c:grouping val="standard"/>
        <c:ser>
          <c:idx val="0"/>
          <c:order val="0"/>
          <c:tx>
            <c:strRef>
              <c:f>dane!$C$76</c:f>
              <c:strCache>
                <c:ptCount val="1"/>
                <c:pt idx="0">
                  <c:v>liczba wypadków</c:v>
                </c:pt>
              </c:strCache>
            </c:strRef>
          </c:tx>
          <c:spPr>
            <a:ln w="50800"/>
          </c:spPr>
          <c:marker>
            <c:symbol val="diamond"/>
            <c:size val="4"/>
          </c:marker>
          <c:cat>
            <c:numRef>
              <c:f>dane!$B$77:$B$83</c:f>
              <c:numCache>
                <c:formatCode>General</c:formatCode>
                <c:ptCount val="7"/>
                <c:pt idx="0">
                  <c:v>2004</c:v>
                </c:pt>
                <c:pt idx="1">
                  <c:v>2005</c:v>
                </c:pt>
                <c:pt idx="2">
                  <c:v>2006</c:v>
                </c:pt>
                <c:pt idx="3">
                  <c:v>2007</c:v>
                </c:pt>
                <c:pt idx="4">
                  <c:v>2008</c:v>
                </c:pt>
                <c:pt idx="5">
                  <c:v>2009</c:v>
                </c:pt>
                <c:pt idx="6">
                  <c:v>2010</c:v>
                </c:pt>
              </c:numCache>
            </c:numRef>
          </c:cat>
          <c:val>
            <c:numRef>
              <c:f>dane!$C$77:$C$83</c:f>
              <c:numCache>
                <c:formatCode>General</c:formatCode>
                <c:ptCount val="7"/>
                <c:pt idx="0">
                  <c:v>32</c:v>
                </c:pt>
                <c:pt idx="1">
                  <c:v>26</c:v>
                </c:pt>
                <c:pt idx="2">
                  <c:v>26</c:v>
                </c:pt>
                <c:pt idx="3">
                  <c:v>29</c:v>
                </c:pt>
                <c:pt idx="4">
                  <c:v>37</c:v>
                </c:pt>
                <c:pt idx="5">
                  <c:v>20</c:v>
                </c:pt>
                <c:pt idx="6">
                  <c:v>16</c:v>
                </c:pt>
              </c:numCache>
            </c:numRef>
          </c:val>
        </c:ser>
        <c:ser>
          <c:idx val="1"/>
          <c:order val="1"/>
          <c:tx>
            <c:strRef>
              <c:f>dane!$D$76</c:f>
              <c:strCache>
                <c:ptCount val="1"/>
                <c:pt idx="0">
                  <c:v>liczba kolizji</c:v>
                </c:pt>
              </c:strCache>
            </c:strRef>
          </c:tx>
          <c:spPr>
            <a:ln w="50800"/>
          </c:spPr>
          <c:marker>
            <c:symbol val="square"/>
            <c:size val="4"/>
          </c:marker>
          <c:cat>
            <c:numRef>
              <c:f>dane!$B$77:$B$83</c:f>
              <c:numCache>
                <c:formatCode>General</c:formatCode>
                <c:ptCount val="7"/>
                <c:pt idx="0">
                  <c:v>2004</c:v>
                </c:pt>
                <c:pt idx="1">
                  <c:v>2005</c:v>
                </c:pt>
                <c:pt idx="2">
                  <c:v>2006</c:v>
                </c:pt>
                <c:pt idx="3">
                  <c:v>2007</c:v>
                </c:pt>
                <c:pt idx="4">
                  <c:v>2008</c:v>
                </c:pt>
                <c:pt idx="5">
                  <c:v>2009</c:v>
                </c:pt>
                <c:pt idx="6">
                  <c:v>2010</c:v>
                </c:pt>
              </c:numCache>
            </c:numRef>
          </c:cat>
          <c:val>
            <c:numRef>
              <c:f>dane!$D$77:$D$83</c:f>
              <c:numCache>
                <c:formatCode>General</c:formatCode>
                <c:ptCount val="7"/>
                <c:pt idx="0">
                  <c:v>131</c:v>
                </c:pt>
                <c:pt idx="1">
                  <c:v>140</c:v>
                </c:pt>
                <c:pt idx="2">
                  <c:v>88</c:v>
                </c:pt>
                <c:pt idx="3">
                  <c:v>116</c:v>
                </c:pt>
                <c:pt idx="4">
                  <c:v>92</c:v>
                </c:pt>
                <c:pt idx="5">
                  <c:v>92</c:v>
                </c:pt>
                <c:pt idx="6">
                  <c:v>134</c:v>
                </c:pt>
              </c:numCache>
            </c:numRef>
          </c:val>
        </c:ser>
        <c:ser>
          <c:idx val="2"/>
          <c:order val="2"/>
          <c:tx>
            <c:strRef>
              <c:f>dane!$E$76</c:f>
              <c:strCache>
                <c:ptCount val="1"/>
                <c:pt idx="0">
                  <c:v>liczba rannych</c:v>
                </c:pt>
              </c:strCache>
            </c:strRef>
          </c:tx>
          <c:spPr>
            <a:ln w="50800"/>
          </c:spPr>
          <c:marker>
            <c:symbol val="triangle"/>
            <c:size val="5"/>
          </c:marker>
          <c:cat>
            <c:numRef>
              <c:f>dane!$B$77:$B$83</c:f>
              <c:numCache>
                <c:formatCode>General</c:formatCode>
                <c:ptCount val="7"/>
                <c:pt idx="0">
                  <c:v>2004</c:v>
                </c:pt>
                <c:pt idx="1">
                  <c:v>2005</c:v>
                </c:pt>
                <c:pt idx="2">
                  <c:v>2006</c:v>
                </c:pt>
                <c:pt idx="3">
                  <c:v>2007</c:v>
                </c:pt>
                <c:pt idx="4">
                  <c:v>2008</c:v>
                </c:pt>
                <c:pt idx="5">
                  <c:v>2009</c:v>
                </c:pt>
                <c:pt idx="6">
                  <c:v>2010</c:v>
                </c:pt>
              </c:numCache>
            </c:numRef>
          </c:cat>
          <c:val>
            <c:numRef>
              <c:f>dane!$E$77:$E$83</c:f>
              <c:numCache>
                <c:formatCode>General</c:formatCode>
                <c:ptCount val="7"/>
                <c:pt idx="0">
                  <c:v>50</c:v>
                </c:pt>
                <c:pt idx="1">
                  <c:v>37</c:v>
                </c:pt>
                <c:pt idx="2">
                  <c:v>34</c:v>
                </c:pt>
                <c:pt idx="3">
                  <c:v>37</c:v>
                </c:pt>
                <c:pt idx="4">
                  <c:v>68</c:v>
                </c:pt>
                <c:pt idx="5">
                  <c:v>30</c:v>
                </c:pt>
                <c:pt idx="6">
                  <c:v>19</c:v>
                </c:pt>
              </c:numCache>
            </c:numRef>
          </c:val>
        </c:ser>
        <c:ser>
          <c:idx val="3"/>
          <c:order val="3"/>
          <c:tx>
            <c:strRef>
              <c:f>dane!$F$76</c:f>
              <c:strCache>
                <c:ptCount val="1"/>
                <c:pt idx="0">
                  <c:v>liczba zabitych</c:v>
                </c:pt>
              </c:strCache>
            </c:strRef>
          </c:tx>
          <c:spPr>
            <a:ln w="50800"/>
          </c:spPr>
          <c:marker>
            <c:symbol val="x"/>
            <c:size val="8"/>
          </c:marker>
          <c:cat>
            <c:numRef>
              <c:f>dane!$B$77:$B$83</c:f>
              <c:numCache>
                <c:formatCode>General</c:formatCode>
                <c:ptCount val="7"/>
                <c:pt idx="0">
                  <c:v>2004</c:v>
                </c:pt>
                <c:pt idx="1">
                  <c:v>2005</c:v>
                </c:pt>
                <c:pt idx="2">
                  <c:v>2006</c:v>
                </c:pt>
                <c:pt idx="3">
                  <c:v>2007</c:v>
                </c:pt>
                <c:pt idx="4">
                  <c:v>2008</c:v>
                </c:pt>
                <c:pt idx="5">
                  <c:v>2009</c:v>
                </c:pt>
                <c:pt idx="6">
                  <c:v>2010</c:v>
                </c:pt>
              </c:numCache>
            </c:numRef>
          </c:cat>
          <c:val>
            <c:numRef>
              <c:f>dane!$F$77:$F$83</c:f>
              <c:numCache>
                <c:formatCode>General</c:formatCode>
                <c:ptCount val="7"/>
                <c:pt idx="0">
                  <c:v>4</c:v>
                </c:pt>
                <c:pt idx="1">
                  <c:v>2</c:v>
                </c:pt>
                <c:pt idx="2">
                  <c:v>1</c:v>
                </c:pt>
                <c:pt idx="3">
                  <c:v>1</c:v>
                </c:pt>
                <c:pt idx="4">
                  <c:v>4</c:v>
                </c:pt>
                <c:pt idx="5">
                  <c:v>2</c:v>
                </c:pt>
                <c:pt idx="6">
                  <c:v>1</c:v>
                </c:pt>
              </c:numCache>
            </c:numRef>
          </c:val>
        </c:ser>
        <c:marker val="1"/>
        <c:axId val="108739968"/>
        <c:axId val="108741760"/>
      </c:lineChart>
      <c:catAx>
        <c:axId val="108739968"/>
        <c:scaling>
          <c:orientation val="minMax"/>
        </c:scaling>
        <c:axPos val="b"/>
        <c:numFmt formatCode="General" sourceLinked="1"/>
        <c:tickLblPos val="nextTo"/>
        <c:txPr>
          <a:bodyPr/>
          <a:lstStyle/>
          <a:p>
            <a:pPr>
              <a:defRPr sz="900"/>
            </a:pPr>
            <a:endParaRPr lang="pl-PL"/>
          </a:p>
        </c:txPr>
        <c:crossAx val="108741760"/>
        <c:crosses val="autoZero"/>
        <c:auto val="1"/>
        <c:lblAlgn val="ctr"/>
        <c:lblOffset val="100"/>
      </c:catAx>
      <c:valAx>
        <c:axId val="108741760"/>
        <c:scaling>
          <c:orientation val="minMax"/>
        </c:scaling>
        <c:axPos val="l"/>
        <c:majorGridlines/>
        <c:numFmt formatCode="General" sourceLinked="1"/>
        <c:tickLblPos val="nextTo"/>
        <c:txPr>
          <a:bodyPr/>
          <a:lstStyle/>
          <a:p>
            <a:pPr>
              <a:defRPr sz="900"/>
            </a:pPr>
            <a:endParaRPr lang="pl-PL"/>
          </a:p>
        </c:txPr>
        <c:crossAx val="108739968"/>
        <c:crosses val="autoZero"/>
        <c:crossBetween val="between"/>
      </c:valAx>
      <c:spPr>
        <a:solidFill>
          <a:sysClr val="window" lastClr="FFFFFF">
            <a:lumMod val="95000"/>
          </a:sysClr>
        </a:solidFill>
      </c:spPr>
    </c:plotArea>
    <c:legend>
      <c:legendPos val="b"/>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900"/>
              <a:t>Powierzchnia użytkowania gruntów</a:t>
            </a:r>
            <a:br>
              <a:rPr lang="pl-PL" sz="900"/>
            </a:br>
            <a:r>
              <a:rPr lang="pl-PL" sz="900" b="0"/>
              <a:t>(stan na dzień 01.01.2010 r.)</a:t>
            </a:r>
          </a:p>
        </c:rich>
      </c:tx>
    </c:title>
    <c:plotArea>
      <c:layout>
        <c:manualLayout>
          <c:layoutTarget val="inner"/>
          <c:xMode val="edge"/>
          <c:yMode val="edge"/>
          <c:x val="3.5171086940942349E-2"/>
          <c:y val="0.24784412365121086"/>
          <c:w val="0.69962072558283162"/>
          <c:h val="0.64769138232722112"/>
        </c:manualLayout>
      </c:layout>
      <c:pieChart>
        <c:varyColors val="1"/>
        <c:ser>
          <c:idx val="0"/>
          <c:order val="0"/>
          <c:dLbls>
            <c:dLbl>
              <c:idx val="0"/>
              <c:layout>
                <c:manualLayout>
                  <c:x val="-0.14984951881014874"/>
                  <c:y val="0.20846237970254056"/>
                </c:manualLayout>
              </c:layout>
              <c:spPr/>
              <c:txPr>
                <a:bodyPr/>
                <a:lstStyle/>
                <a:p>
                  <a:pPr>
                    <a:defRPr sz="800"/>
                  </a:pPr>
                  <a:endParaRPr lang="pl-PL"/>
                </a:p>
              </c:txPr>
              <c:showCatName val="1"/>
              <c:showPercent val="1"/>
            </c:dLbl>
            <c:dLbl>
              <c:idx val="1"/>
              <c:layout>
                <c:manualLayout>
                  <c:x val="2.9218148154856832E-2"/>
                  <c:y val="-0.15552055993000868"/>
                </c:manualLayout>
              </c:layout>
              <c:spPr/>
              <c:txPr>
                <a:bodyPr/>
                <a:lstStyle/>
                <a:p>
                  <a:pPr>
                    <a:defRPr sz="800"/>
                  </a:pPr>
                  <a:endParaRPr lang="pl-PL"/>
                </a:p>
              </c:txPr>
              <c:showCatName val="1"/>
              <c:showPercent val="1"/>
            </c:dLbl>
            <c:dLbl>
              <c:idx val="2"/>
              <c:layout>
                <c:manualLayout>
                  <c:x val="2.9131519861898752E-2"/>
                  <c:y val="-8.0807086614173226E-3"/>
                </c:manualLayout>
              </c:layout>
              <c:spPr/>
              <c:txPr>
                <a:bodyPr/>
                <a:lstStyle/>
                <a:p>
                  <a:pPr>
                    <a:defRPr sz="800"/>
                  </a:pPr>
                  <a:endParaRPr lang="pl-PL"/>
                </a:p>
              </c:txPr>
              <c:showCatName val="1"/>
              <c:showPercent val="1"/>
            </c:dLbl>
            <c:dLbl>
              <c:idx val="3"/>
              <c:layout>
                <c:manualLayout>
                  <c:x val="-5.0412153791996032E-2"/>
                  <c:y val="6.0898585593467475E-2"/>
                </c:manualLayout>
              </c:layout>
              <c:spPr/>
              <c:txPr>
                <a:bodyPr/>
                <a:lstStyle/>
                <a:p>
                  <a:pPr>
                    <a:defRPr sz="800"/>
                  </a:pPr>
                  <a:endParaRPr lang="pl-PL"/>
                </a:p>
              </c:txPr>
              <c:showCatName val="1"/>
              <c:showPercent val="1"/>
            </c:dLbl>
            <c:dLbl>
              <c:idx val="4"/>
              <c:layout>
                <c:manualLayout>
                  <c:x val="0.18100415573053374"/>
                  <c:y val="-4.0012394284049672E-2"/>
                </c:manualLayout>
              </c:layout>
              <c:spPr/>
              <c:txPr>
                <a:bodyPr/>
                <a:lstStyle/>
                <a:p>
                  <a:pPr>
                    <a:defRPr sz="800"/>
                  </a:pPr>
                  <a:endParaRPr lang="pl-PL"/>
                </a:p>
              </c:txPr>
              <c:showCatName val="1"/>
              <c:showPercent val="1"/>
            </c:dLbl>
            <c:showCatName val="1"/>
            <c:showPercent val="1"/>
            <c:showLeaderLines val="1"/>
          </c:dLbls>
          <c:cat>
            <c:strRef>
              <c:f>dane!$A$2:$A$6</c:f>
              <c:strCache>
                <c:ptCount val="5"/>
                <c:pt idx="0">
                  <c:v>lasy i grunty leśne</c:v>
                </c:pt>
                <c:pt idx="1">
                  <c:v>grunty pod wodami</c:v>
                </c:pt>
                <c:pt idx="2">
                  <c:v>tereny zurbanizowane</c:v>
                </c:pt>
                <c:pt idx="3">
                  <c:v>grunty pozostałe</c:v>
                </c:pt>
                <c:pt idx="4">
                  <c:v>użytki rolne</c:v>
                </c:pt>
              </c:strCache>
            </c:strRef>
          </c:cat>
          <c:val>
            <c:numRef>
              <c:f>dane!$B$2:$B$6</c:f>
              <c:numCache>
                <c:formatCode>General</c:formatCode>
                <c:ptCount val="5"/>
                <c:pt idx="0">
                  <c:v>4925</c:v>
                </c:pt>
                <c:pt idx="1">
                  <c:v>549</c:v>
                </c:pt>
                <c:pt idx="2">
                  <c:v>935</c:v>
                </c:pt>
                <c:pt idx="3">
                  <c:v>699</c:v>
                </c:pt>
                <c:pt idx="4">
                  <c:v>11818</c:v>
                </c:pt>
              </c:numCache>
            </c:numRef>
          </c:val>
        </c:ser>
        <c:dLbls>
          <c:showCatName val="1"/>
          <c:showPercent val="1"/>
        </c:dLbls>
        <c:firstSliceAng val="0"/>
      </c:pieChart>
    </c:plotArea>
    <c:plotVisOnly val="1"/>
  </c:chart>
  <c:spPr>
    <a:solidFill>
      <a:sysClr val="window" lastClr="FFFFFF">
        <a:lumMod val="95000"/>
      </a:sysClr>
    </a:solidFill>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900"/>
              <a:t>Struktura własnościowa gruntów</a:t>
            </a:r>
            <a:br>
              <a:rPr lang="pl-PL" sz="900"/>
            </a:br>
            <a:r>
              <a:rPr lang="pl-PL" sz="900" b="0"/>
              <a:t>(stan na dzień 01.01.2010 r.)</a:t>
            </a:r>
          </a:p>
        </c:rich>
      </c:tx>
    </c:title>
    <c:plotArea>
      <c:layout>
        <c:manualLayout>
          <c:layoutTarget val="inner"/>
          <c:xMode val="edge"/>
          <c:yMode val="edge"/>
          <c:x val="0.17947163022171303"/>
          <c:y val="0.24784412365121194"/>
          <c:w val="0.56797960992114283"/>
          <c:h val="0.64769138232722134"/>
        </c:manualLayout>
      </c:layout>
      <c:pieChart>
        <c:varyColors val="1"/>
        <c:ser>
          <c:idx val="0"/>
          <c:order val="0"/>
          <c:dLbls>
            <c:dLbl>
              <c:idx val="1"/>
              <c:layout>
                <c:manualLayout>
                  <c:x val="-2.8727690288713952E-2"/>
                  <c:y val="1.7059273840769905E-2"/>
                </c:manualLayout>
              </c:layout>
              <c:showCatName val="1"/>
              <c:showPercent val="1"/>
            </c:dLbl>
            <c:dLbl>
              <c:idx val="3"/>
              <c:layout>
                <c:manualLayout>
                  <c:x val="6.1130796150481934E-3"/>
                  <c:y val="-7.1860236220472481E-2"/>
                </c:manualLayout>
              </c:layout>
              <c:showCatName val="1"/>
              <c:showPercent val="1"/>
            </c:dLbl>
            <c:numFmt formatCode="0.0%" sourceLinked="0"/>
            <c:txPr>
              <a:bodyPr/>
              <a:lstStyle/>
              <a:p>
                <a:pPr>
                  <a:defRPr sz="800"/>
                </a:pPr>
                <a:endParaRPr lang="pl-PL"/>
              </a:p>
            </c:txPr>
            <c:showCatName val="1"/>
            <c:showPercent val="1"/>
            <c:showLeaderLines val="1"/>
          </c:dLbls>
          <c:cat>
            <c:strRef>
              <c:f>dane!$A$18:$A$24</c:f>
              <c:strCache>
                <c:ptCount val="7"/>
                <c:pt idx="0">
                  <c:v>grunty Skarbu Państwa</c:v>
                </c:pt>
                <c:pt idx="1">
                  <c:v>grunty gminne</c:v>
                </c:pt>
                <c:pt idx="2">
                  <c:v>grunty osób fizycznych</c:v>
                </c:pt>
                <c:pt idx="3">
                  <c:v>spółki</c:v>
                </c:pt>
                <c:pt idx="4">
                  <c:v>spółdzielnie</c:v>
                </c:pt>
                <c:pt idx="5">
                  <c:v>grunty kościołów i zw. wyznan.</c:v>
                </c:pt>
                <c:pt idx="6">
                  <c:v>inni użytkownicy</c:v>
                </c:pt>
              </c:strCache>
            </c:strRef>
          </c:cat>
          <c:val>
            <c:numRef>
              <c:f>dane!$B$18:$B$24</c:f>
              <c:numCache>
                <c:formatCode>General</c:formatCode>
                <c:ptCount val="7"/>
                <c:pt idx="0">
                  <c:v>9378</c:v>
                </c:pt>
                <c:pt idx="1">
                  <c:v>820</c:v>
                </c:pt>
                <c:pt idx="2">
                  <c:v>7202</c:v>
                </c:pt>
                <c:pt idx="3">
                  <c:v>801</c:v>
                </c:pt>
                <c:pt idx="4">
                  <c:v>246</c:v>
                </c:pt>
                <c:pt idx="5">
                  <c:v>165</c:v>
                </c:pt>
                <c:pt idx="6">
                  <c:v>314</c:v>
                </c:pt>
              </c:numCache>
            </c:numRef>
          </c:val>
        </c:ser>
        <c:dLbls>
          <c:showCatName val="1"/>
          <c:showPercent val="1"/>
        </c:dLbls>
        <c:firstSliceAng val="99"/>
      </c:pieChart>
    </c:plotArea>
    <c:plotVisOnly val="1"/>
  </c:chart>
  <c:spPr>
    <a:solidFill>
      <a:sysClr val="window" lastClr="FFFFFF">
        <a:lumMod val="95000"/>
      </a:sysClr>
    </a:solidFill>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9.9777133324907966E-2"/>
          <c:y val="4.9394309789655207E-2"/>
          <c:w val="0.87089498940459587"/>
          <c:h val="0.57742407790511563"/>
        </c:manualLayout>
      </c:layout>
      <c:barChart>
        <c:barDir val="col"/>
        <c:grouping val="clustered"/>
        <c:ser>
          <c:idx val="0"/>
          <c:order val="0"/>
          <c:tx>
            <c:v>Mężczyźni</c:v>
          </c:tx>
          <c:dLbls>
            <c:txPr>
              <a:bodyPr rot="-5400000" vert="horz"/>
              <a:lstStyle/>
              <a:p>
                <a:pPr>
                  <a:defRPr/>
                </a:pPr>
                <a:endParaRPr lang="pl-PL"/>
              </a:p>
            </c:txPr>
            <c:showSerName val="1"/>
          </c:dLbls>
          <c:cat>
            <c:strRef>
              <c:f>Zbiorczy!$C$20:$D$20</c:f>
              <c:strCache>
                <c:ptCount val="2"/>
                <c:pt idx="0">
                  <c:v>NIE</c:v>
                </c:pt>
                <c:pt idx="1">
                  <c:v>TAK</c:v>
                </c:pt>
              </c:strCache>
            </c:strRef>
          </c:cat>
          <c:val>
            <c:numRef>
              <c:f>Zbiorczy!$C$2:$D$2</c:f>
              <c:numCache>
                <c:formatCode>0%</c:formatCode>
                <c:ptCount val="2"/>
                <c:pt idx="0">
                  <c:v>0.78571428571428559</c:v>
                </c:pt>
                <c:pt idx="1">
                  <c:v>0.21428571428571427</c:v>
                </c:pt>
              </c:numCache>
            </c:numRef>
          </c:val>
        </c:ser>
        <c:ser>
          <c:idx val="1"/>
          <c:order val="1"/>
          <c:tx>
            <c:v>Kobiety</c:v>
          </c:tx>
          <c:dLbls>
            <c:txPr>
              <a:bodyPr rot="-5400000" vert="horz"/>
              <a:lstStyle/>
              <a:p>
                <a:pPr>
                  <a:defRPr/>
                </a:pPr>
                <a:endParaRPr lang="pl-PL"/>
              </a:p>
            </c:txPr>
            <c:showSerName val="1"/>
          </c:dLbls>
          <c:val>
            <c:numRef>
              <c:f>Zbiorczy!$F$2:$G$2</c:f>
              <c:numCache>
                <c:formatCode>0%</c:formatCode>
                <c:ptCount val="2"/>
                <c:pt idx="0">
                  <c:v>0.82653061224490021</c:v>
                </c:pt>
                <c:pt idx="1">
                  <c:v>0.17346938775510273</c:v>
                </c:pt>
              </c:numCache>
            </c:numRef>
          </c:val>
        </c:ser>
        <c:ser>
          <c:idx val="9"/>
          <c:order val="2"/>
          <c:val>
            <c:numLit>
              <c:formatCode>General</c:formatCode>
              <c:ptCount val="1"/>
              <c:pt idx="0">
                <c:v>0</c:v>
              </c:pt>
            </c:numLit>
          </c:val>
        </c:ser>
        <c:ser>
          <c:idx val="2"/>
          <c:order val="3"/>
          <c:tx>
            <c:v>Wykształcenie wyższe</c:v>
          </c:tx>
          <c:val>
            <c:numRef>
              <c:f>Zbiorczy!$I$2:$J$2</c:f>
              <c:numCache>
                <c:formatCode>0%</c:formatCode>
                <c:ptCount val="2"/>
                <c:pt idx="0">
                  <c:v>0.6800000000000006</c:v>
                </c:pt>
                <c:pt idx="1">
                  <c:v>0.32000000000000067</c:v>
                </c:pt>
              </c:numCache>
            </c:numRef>
          </c:val>
        </c:ser>
        <c:ser>
          <c:idx val="3"/>
          <c:order val="4"/>
          <c:tx>
            <c:v>Wykształcenie średnie i policealne</c:v>
          </c:tx>
          <c:val>
            <c:numRef>
              <c:f>Zbiorczy!$L$2:$M$2</c:f>
              <c:numCache>
                <c:formatCode>0%</c:formatCode>
                <c:ptCount val="2"/>
                <c:pt idx="0">
                  <c:v>0.8153846153846156</c:v>
                </c:pt>
                <c:pt idx="1">
                  <c:v>0.18461538461538504</c:v>
                </c:pt>
              </c:numCache>
            </c:numRef>
          </c:val>
        </c:ser>
        <c:ser>
          <c:idx val="4"/>
          <c:order val="5"/>
          <c:tx>
            <c:v>Wykształcenie zasadnicze zawodowe i poniżej</c:v>
          </c:tx>
          <c:val>
            <c:numRef>
              <c:f>Zbiorczy!$O$2:$P$2</c:f>
              <c:numCache>
                <c:formatCode>0%</c:formatCode>
                <c:ptCount val="2"/>
                <c:pt idx="0">
                  <c:v>0.82857142857142863</c:v>
                </c:pt>
                <c:pt idx="1">
                  <c:v>0.17142857142857137</c:v>
                </c:pt>
              </c:numCache>
            </c:numRef>
          </c:val>
        </c:ser>
        <c:ser>
          <c:idx val="10"/>
          <c:order val="6"/>
          <c:val>
            <c:numLit>
              <c:formatCode>General</c:formatCode>
              <c:ptCount val="1"/>
              <c:pt idx="0">
                <c:v>0</c:v>
              </c:pt>
            </c:numLit>
          </c:val>
        </c:ser>
        <c:ser>
          <c:idx val="5"/>
          <c:order val="7"/>
          <c:tx>
            <c:v>Wiek: 18-29</c:v>
          </c:tx>
          <c:val>
            <c:numRef>
              <c:f>Zbiorczy!$R$2:$S$2</c:f>
              <c:numCache>
                <c:formatCode>0%</c:formatCode>
                <c:ptCount val="2"/>
                <c:pt idx="0">
                  <c:v>0.5208333333333337</c:v>
                </c:pt>
                <c:pt idx="1">
                  <c:v>0.47916666666666746</c:v>
                </c:pt>
              </c:numCache>
            </c:numRef>
          </c:val>
        </c:ser>
        <c:ser>
          <c:idx val="6"/>
          <c:order val="8"/>
          <c:tx>
            <c:v>Wiek: 30-39</c:v>
          </c:tx>
          <c:val>
            <c:numRef>
              <c:f>Zbiorczy!$U$2:$V$2</c:f>
              <c:numCache>
                <c:formatCode>0%</c:formatCode>
                <c:ptCount val="2"/>
                <c:pt idx="0">
                  <c:v>0.92307692307692257</c:v>
                </c:pt>
                <c:pt idx="1">
                  <c:v>7.6923076923076983E-2</c:v>
                </c:pt>
              </c:numCache>
            </c:numRef>
          </c:val>
        </c:ser>
        <c:ser>
          <c:idx val="7"/>
          <c:order val="9"/>
          <c:tx>
            <c:v>Wiek: 40-59</c:v>
          </c:tx>
          <c:val>
            <c:numRef>
              <c:f>Zbiorczy!$X$2:$Y$2</c:f>
              <c:numCache>
                <c:formatCode>0%</c:formatCode>
                <c:ptCount val="2"/>
                <c:pt idx="0">
                  <c:v>0.8666666666666667</c:v>
                </c:pt>
                <c:pt idx="1">
                  <c:v>0.13333333333333341</c:v>
                </c:pt>
              </c:numCache>
            </c:numRef>
          </c:val>
        </c:ser>
        <c:ser>
          <c:idx val="8"/>
          <c:order val="10"/>
          <c:tx>
            <c:v>Wiek: 60 i powyżej</c:v>
          </c:tx>
          <c:val>
            <c:numRef>
              <c:f>Zbiorczy!$AA$2:$AB$2</c:f>
              <c:numCache>
                <c:formatCode>0%</c:formatCode>
                <c:ptCount val="2"/>
                <c:pt idx="0">
                  <c:v>0.94117647058823561</c:v>
                </c:pt>
                <c:pt idx="1">
                  <c:v>5.8823529411764705E-2</c:v>
                </c:pt>
              </c:numCache>
            </c:numRef>
          </c:val>
        </c:ser>
        <c:gapWidth val="136"/>
        <c:overlap val="-15"/>
        <c:axId val="108825984"/>
        <c:axId val="108844160"/>
      </c:barChart>
      <c:catAx>
        <c:axId val="108825984"/>
        <c:scaling>
          <c:orientation val="minMax"/>
        </c:scaling>
        <c:axPos val="b"/>
        <c:majorGridlines/>
        <c:tickLblPos val="nextTo"/>
        <c:crossAx val="108844160"/>
        <c:crosses val="autoZero"/>
        <c:auto val="1"/>
        <c:lblAlgn val="ctr"/>
        <c:lblOffset val="100"/>
      </c:catAx>
      <c:valAx>
        <c:axId val="108844160"/>
        <c:scaling>
          <c:orientation val="minMax"/>
        </c:scaling>
        <c:axPos val="l"/>
        <c:numFmt formatCode="0%" sourceLinked="1"/>
        <c:tickLblPos val="nextTo"/>
        <c:txPr>
          <a:bodyPr/>
          <a:lstStyle/>
          <a:p>
            <a:pPr>
              <a:defRPr sz="800"/>
            </a:pPr>
            <a:endParaRPr lang="pl-PL"/>
          </a:p>
        </c:txPr>
        <c:crossAx val="108825984"/>
        <c:crosses val="autoZero"/>
        <c:crossBetween val="between"/>
      </c:valAx>
      <c:spPr>
        <a:solidFill>
          <a:schemeClr val="bg1">
            <a:lumMod val="95000"/>
          </a:schemeClr>
        </a:solidFill>
        <a:ln>
          <a:noFill/>
        </a:ln>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1.8242275557765013E-2"/>
          <c:y val="0.75711310741246407"/>
          <c:w val="0.9679727823863109"/>
          <c:h val="0.22264645101653779"/>
        </c:manualLayout>
      </c:layout>
      <c:txPr>
        <a:bodyPr/>
        <a:lstStyle/>
        <a:p>
          <a:pPr>
            <a:defRPr sz="900"/>
          </a:pPr>
          <a:endParaRPr lang="pl-PL"/>
        </a:p>
      </c:txPr>
    </c:legend>
    <c:plotVisOnly val="1"/>
  </c:chart>
  <c:spPr>
    <a:solidFill>
      <a:schemeClr val="bg1">
        <a:lumMod val="95000"/>
      </a:schemeClr>
    </a:solidFill>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0.10159127465492458"/>
          <c:y val="5.193235188499197E-2"/>
          <c:w val="0.86854761052299712"/>
          <c:h val="0.57931635166492057"/>
        </c:manualLayout>
      </c:layout>
      <c:barChart>
        <c:barDir val="col"/>
        <c:grouping val="clustered"/>
        <c:ser>
          <c:idx val="0"/>
          <c:order val="0"/>
          <c:tx>
            <c:v>Mężczyźni</c:v>
          </c:tx>
          <c:dLbls>
            <c:txPr>
              <a:bodyPr rot="-5400000" vert="horz"/>
              <a:lstStyle/>
              <a:p>
                <a:pPr>
                  <a:defRPr/>
                </a:pPr>
                <a:endParaRPr lang="pl-PL"/>
              </a:p>
            </c:txPr>
            <c:showSerName val="1"/>
          </c:dLbls>
          <c:cat>
            <c:strRef>
              <c:f>Zbiorczy!$C$20:$D$20</c:f>
              <c:strCache>
                <c:ptCount val="2"/>
                <c:pt idx="0">
                  <c:v>NIE</c:v>
                </c:pt>
                <c:pt idx="1">
                  <c:v>TAK</c:v>
                </c:pt>
              </c:strCache>
            </c:strRef>
          </c:cat>
          <c:val>
            <c:numRef>
              <c:f>Zbiorczy!$C$3:$D$3</c:f>
              <c:numCache>
                <c:formatCode>0%</c:formatCode>
                <c:ptCount val="2"/>
                <c:pt idx="0">
                  <c:v>0.83035714285714257</c:v>
                </c:pt>
                <c:pt idx="1">
                  <c:v>0.16964285714285721</c:v>
                </c:pt>
              </c:numCache>
            </c:numRef>
          </c:val>
        </c:ser>
        <c:ser>
          <c:idx val="1"/>
          <c:order val="1"/>
          <c:tx>
            <c:v>Kobiety</c:v>
          </c:tx>
          <c:dLbls>
            <c:txPr>
              <a:bodyPr rot="-5400000" vert="horz"/>
              <a:lstStyle/>
              <a:p>
                <a:pPr>
                  <a:defRPr/>
                </a:pPr>
                <a:endParaRPr lang="pl-PL"/>
              </a:p>
            </c:txPr>
            <c:showSerName val="1"/>
          </c:dLbls>
          <c:val>
            <c:numRef>
              <c:f>Zbiorczy!$F$3:$G$3</c:f>
              <c:numCache>
                <c:formatCode>0%</c:formatCode>
                <c:ptCount val="2"/>
                <c:pt idx="0">
                  <c:v>0.7343283582089557</c:v>
                </c:pt>
                <c:pt idx="1">
                  <c:v>0.2656716417910448</c:v>
                </c:pt>
              </c:numCache>
            </c:numRef>
          </c:val>
        </c:ser>
        <c:ser>
          <c:idx val="9"/>
          <c:order val="2"/>
          <c:val>
            <c:numLit>
              <c:formatCode>General</c:formatCode>
              <c:ptCount val="1"/>
              <c:pt idx="0">
                <c:v>0</c:v>
              </c:pt>
            </c:numLit>
          </c:val>
        </c:ser>
        <c:ser>
          <c:idx val="2"/>
          <c:order val="3"/>
          <c:tx>
            <c:v>Wykształcenie wyższe</c:v>
          </c:tx>
          <c:val>
            <c:numRef>
              <c:f>Zbiorczy!$I$3:$J$3</c:f>
              <c:numCache>
                <c:formatCode>0%</c:formatCode>
                <c:ptCount val="2"/>
                <c:pt idx="0">
                  <c:v>0.95789473684210669</c:v>
                </c:pt>
                <c:pt idx="1">
                  <c:v>4.2105263157894736E-2</c:v>
                </c:pt>
              </c:numCache>
            </c:numRef>
          </c:val>
        </c:ser>
        <c:ser>
          <c:idx val="3"/>
          <c:order val="4"/>
          <c:tx>
            <c:v>Wykształcenie średnie i policealne</c:v>
          </c:tx>
          <c:val>
            <c:numRef>
              <c:f>Zbiorczy!$L$3:$M$3</c:f>
              <c:numCache>
                <c:formatCode>0%</c:formatCode>
                <c:ptCount val="2"/>
                <c:pt idx="0">
                  <c:v>0.80930232558139537</c:v>
                </c:pt>
                <c:pt idx="1">
                  <c:v>0.19069767441860433</c:v>
                </c:pt>
              </c:numCache>
            </c:numRef>
          </c:val>
        </c:ser>
        <c:ser>
          <c:idx val="4"/>
          <c:order val="5"/>
          <c:tx>
            <c:v>Wykształcenie zasadnicze zawodowe i poniżej</c:v>
          </c:tx>
          <c:val>
            <c:numRef>
              <c:f>Zbiorczy!$O$3:$P$3</c:f>
              <c:numCache>
                <c:formatCode>0%</c:formatCode>
                <c:ptCount val="2"/>
                <c:pt idx="0">
                  <c:v>0.71866295264623969</c:v>
                </c:pt>
                <c:pt idx="1">
                  <c:v>0.28133704735376047</c:v>
                </c:pt>
              </c:numCache>
            </c:numRef>
          </c:val>
        </c:ser>
        <c:ser>
          <c:idx val="10"/>
          <c:order val="6"/>
          <c:val>
            <c:numLit>
              <c:formatCode>General</c:formatCode>
              <c:ptCount val="1"/>
              <c:pt idx="0">
                <c:v>0</c:v>
              </c:pt>
            </c:numLit>
          </c:val>
        </c:ser>
        <c:ser>
          <c:idx val="5"/>
          <c:order val="7"/>
          <c:tx>
            <c:v>Wiek: 18-29</c:v>
          </c:tx>
          <c:val>
            <c:numRef>
              <c:f>Zbiorczy!$R$3:$S$3</c:f>
              <c:numCache>
                <c:formatCode>0%</c:formatCode>
                <c:ptCount val="2"/>
                <c:pt idx="0">
                  <c:v>0.850828729281768</c:v>
                </c:pt>
                <c:pt idx="1">
                  <c:v>0.14917127071823205</c:v>
                </c:pt>
              </c:numCache>
            </c:numRef>
          </c:val>
        </c:ser>
        <c:ser>
          <c:idx val="6"/>
          <c:order val="8"/>
          <c:tx>
            <c:v>Wiek: 30-39</c:v>
          </c:tx>
          <c:val>
            <c:numRef>
              <c:f>Zbiorczy!$U$3:$V$3</c:f>
              <c:numCache>
                <c:formatCode>0%</c:formatCode>
                <c:ptCount val="2"/>
                <c:pt idx="0">
                  <c:v>0.9375</c:v>
                </c:pt>
                <c:pt idx="1">
                  <c:v>6.25E-2</c:v>
                </c:pt>
              </c:numCache>
            </c:numRef>
          </c:val>
        </c:ser>
        <c:ser>
          <c:idx val="7"/>
          <c:order val="9"/>
          <c:tx>
            <c:v>Wiek: 40-59</c:v>
          </c:tx>
          <c:val>
            <c:numRef>
              <c:f>Zbiorczy!$X$3:$Y$3</c:f>
              <c:numCache>
                <c:formatCode>0%</c:formatCode>
                <c:ptCount val="2"/>
                <c:pt idx="0">
                  <c:v>0.68217054263565891</c:v>
                </c:pt>
                <c:pt idx="1">
                  <c:v>0.31782945736434293</c:v>
                </c:pt>
              </c:numCache>
            </c:numRef>
          </c:val>
        </c:ser>
        <c:ser>
          <c:idx val="8"/>
          <c:order val="10"/>
          <c:tx>
            <c:v>Wiek: 60 i powyżej</c:v>
          </c:tx>
          <c:val>
            <c:numRef>
              <c:f>Zbiorczy!$AA$3:$AB$3</c:f>
              <c:numCache>
                <c:formatCode>0%</c:formatCode>
                <c:ptCount val="2"/>
                <c:pt idx="0">
                  <c:v>0.72115384615384781</c:v>
                </c:pt>
                <c:pt idx="1">
                  <c:v>0.27884615384615385</c:v>
                </c:pt>
              </c:numCache>
            </c:numRef>
          </c:val>
        </c:ser>
        <c:gapWidth val="136"/>
        <c:overlap val="-15"/>
        <c:axId val="108882560"/>
        <c:axId val="108900736"/>
      </c:barChart>
      <c:catAx>
        <c:axId val="108882560"/>
        <c:scaling>
          <c:orientation val="minMax"/>
        </c:scaling>
        <c:axPos val="b"/>
        <c:majorGridlines/>
        <c:tickLblPos val="nextTo"/>
        <c:crossAx val="108900736"/>
        <c:crosses val="autoZero"/>
        <c:auto val="1"/>
        <c:lblAlgn val="ctr"/>
        <c:lblOffset val="100"/>
      </c:catAx>
      <c:valAx>
        <c:axId val="108900736"/>
        <c:scaling>
          <c:orientation val="minMax"/>
          <c:max val="1"/>
        </c:scaling>
        <c:axPos val="l"/>
        <c:numFmt formatCode="0%" sourceLinked="1"/>
        <c:tickLblPos val="nextTo"/>
        <c:txPr>
          <a:bodyPr/>
          <a:lstStyle/>
          <a:p>
            <a:pPr>
              <a:defRPr sz="800"/>
            </a:pPr>
            <a:endParaRPr lang="pl-PL"/>
          </a:p>
        </c:txPr>
        <c:crossAx val="108882560"/>
        <c:crosses val="autoZero"/>
        <c:crossBetween val="between"/>
        <c:majorUnit val="0.2"/>
      </c:valAx>
      <c:spPr>
        <a:solidFill>
          <a:schemeClr val="bg1">
            <a:lumMod val="95000"/>
          </a:scheme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8.4502466160431295E-3"/>
          <c:y val="0.75711310741246407"/>
          <c:w val="0.98884066412658389"/>
          <c:h val="0.22264645101653771"/>
        </c:manualLayout>
      </c:layout>
      <c:txPr>
        <a:bodyPr/>
        <a:lstStyle/>
        <a:p>
          <a:pPr>
            <a:defRPr sz="900"/>
          </a:pPr>
          <a:endParaRPr lang="pl-PL"/>
        </a:p>
      </c:txPr>
    </c:legend>
    <c:plotVisOnly val="1"/>
  </c:chart>
  <c:spPr>
    <a:solidFill>
      <a:schemeClr val="bg1">
        <a:lumMod val="95000"/>
      </a:schemeClr>
    </a:solidFill>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6.3044500094050729E-2"/>
          <c:y val="5.1323782529707727E-2"/>
          <c:w val="0.90756201562294181"/>
          <c:h val="0.67047412961734942"/>
        </c:manualLayout>
      </c:layout>
      <c:barChart>
        <c:barDir val="col"/>
        <c:grouping val="clustered"/>
        <c:ser>
          <c:idx val="0"/>
          <c:order val="0"/>
          <c:tx>
            <c:v>Mężczyźni</c:v>
          </c:tx>
          <c:dLbls>
            <c:txPr>
              <a:bodyPr rot="-5400000" vert="horz"/>
              <a:lstStyle/>
              <a:p>
                <a:pPr>
                  <a:defRPr sz="1100">
                    <a:solidFill>
                      <a:schemeClr val="bg1"/>
                    </a:solidFill>
                  </a:defRPr>
                </a:pPr>
                <a:endParaRPr lang="pl-PL"/>
              </a:p>
            </c:txPr>
            <c:dLblPos val="ctr"/>
            <c:showSerName val="1"/>
          </c:dLbls>
          <c:val>
            <c:numRef>
              <c:f>Zbiorczy!$E$3</c:f>
              <c:numCache>
                <c:formatCode>General</c:formatCode>
                <c:ptCount val="1"/>
                <c:pt idx="0">
                  <c:v>3.6530612244897958</c:v>
                </c:pt>
              </c:numCache>
            </c:numRef>
          </c:val>
        </c:ser>
        <c:ser>
          <c:idx val="1"/>
          <c:order val="1"/>
          <c:tx>
            <c:v>Kobiety</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Zbiorczy!$H$3</c:f>
              <c:numCache>
                <c:formatCode>General</c:formatCode>
                <c:ptCount val="1"/>
                <c:pt idx="0">
                  <c:v>3.5346534653465347</c:v>
                </c:pt>
              </c:numCache>
            </c:numRef>
          </c:val>
        </c:ser>
        <c:ser>
          <c:idx val="9"/>
          <c:order val="2"/>
          <c:val>
            <c:numLit>
              <c:formatCode>General</c:formatCode>
              <c:ptCount val="1"/>
              <c:pt idx="0">
                <c:v>0</c:v>
              </c:pt>
            </c:numLit>
          </c:val>
        </c:ser>
        <c:ser>
          <c:idx val="2"/>
          <c:order val="3"/>
          <c:tx>
            <c:v>Wykształcenie wyższe</c:v>
          </c:tx>
          <c:val>
            <c:numRef>
              <c:f>Zbiorczy!$K$3</c:f>
              <c:numCache>
                <c:formatCode>General</c:formatCode>
                <c:ptCount val="1"/>
                <c:pt idx="0">
                  <c:v>3.6538461538461537</c:v>
                </c:pt>
              </c:numCache>
            </c:numRef>
          </c:val>
        </c:ser>
        <c:ser>
          <c:idx val="3"/>
          <c:order val="4"/>
          <c:tx>
            <c:v>Wykształcenie średnie i policealne</c:v>
          </c:tx>
          <c:val>
            <c:numRef>
              <c:f>Zbiorczy!$N$3</c:f>
              <c:numCache>
                <c:formatCode>General</c:formatCode>
                <c:ptCount val="1"/>
                <c:pt idx="0">
                  <c:v>3.757575757575764</c:v>
                </c:pt>
              </c:numCache>
            </c:numRef>
          </c:val>
        </c:ser>
        <c:ser>
          <c:idx val="4"/>
          <c:order val="5"/>
          <c:tx>
            <c:v>Wykształcenie zasadnicze zawodowe i poniżej</c:v>
          </c:tx>
          <c:val>
            <c:numRef>
              <c:f>Zbiorczy!$Q$3</c:f>
              <c:numCache>
                <c:formatCode>General</c:formatCode>
                <c:ptCount val="1"/>
                <c:pt idx="0">
                  <c:v>3.4905660377358467</c:v>
                </c:pt>
              </c:numCache>
            </c:numRef>
          </c:val>
        </c:ser>
        <c:ser>
          <c:idx val="10"/>
          <c:order val="6"/>
          <c:val>
            <c:numLit>
              <c:formatCode>General</c:formatCode>
              <c:ptCount val="1"/>
              <c:pt idx="0">
                <c:v>0</c:v>
              </c:pt>
            </c:numLit>
          </c:val>
        </c:ser>
        <c:ser>
          <c:idx val="5"/>
          <c:order val="7"/>
          <c:tx>
            <c:v>Wiek: 18-29</c:v>
          </c:tx>
          <c:val>
            <c:numRef>
              <c:f>Zbiorczy!$T$3</c:f>
              <c:numCache>
                <c:formatCode>General</c:formatCode>
                <c:ptCount val="1"/>
                <c:pt idx="0">
                  <c:v>4.04</c:v>
                </c:pt>
              </c:numCache>
            </c:numRef>
          </c:val>
        </c:ser>
        <c:ser>
          <c:idx val="6"/>
          <c:order val="8"/>
          <c:tx>
            <c:v>Wiek: 30-39</c:v>
          </c:tx>
          <c:val>
            <c:numRef>
              <c:f>Zbiorczy!$W$3</c:f>
              <c:numCache>
                <c:formatCode>General</c:formatCode>
                <c:ptCount val="1"/>
                <c:pt idx="0">
                  <c:v>3.3333333333333335</c:v>
                </c:pt>
              </c:numCache>
            </c:numRef>
          </c:val>
        </c:ser>
        <c:ser>
          <c:idx val="7"/>
          <c:order val="9"/>
          <c:tx>
            <c:v>Wiek: 40-59</c:v>
          </c:tx>
          <c:val>
            <c:numRef>
              <c:f>Zbiorczy!$Z$3</c:f>
              <c:numCache>
                <c:formatCode>General</c:formatCode>
                <c:ptCount val="1"/>
                <c:pt idx="0">
                  <c:v>3.6133333333333342</c:v>
                </c:pt>
              </c:numCache>
            </c:numRef>
          </c:val>
        </c:ser>
        <c:ser>
          <c:idx val="8"/>
          <c:order val="10"/>
          <c:tx>
            <c:v>Wiek: 60 i powyżej</c:v>
          </c:tx>
          <c:val>
            <c:numRef>
              <c:f>Zbiorczy!$AC$3</c:f>
              <c:numCache>
                <c:formatCode>General</c:formatCode>
                <c:ptCount val="1"/>
                <c:pt idx="0">
                  <c:v>3.2</c:v>
                </c:pt>
              </c:numCache>
            </c:numRef>
          </c:val>
        </c:ser>
        <c:axId val="108951424"/>
        <c:axId val="108952960"/>
      </c:barChart>
      <c:catAx>
        <c:axId val="108951424"/>
        <c:scaling>
          <c:orientation val="minMax"/>
        </c:scaling>
        <c:delete val="1"/>
        <c:axPos val="b"/>
        <c:tickLblPos val="none"/>
        <c:crossAx val="108952960"/>
        <c:crosses val="autoZero"/>
        <c:auto val="1"/>
        <c:lblAlgn val="ctr"/>
        <c:lblOffset val="100"/>
      </c:catAx>
      <c:valAx>
        <c:axId val="108952960"/>
        <c:scaling>
          <c:orientation val="minMax"/>
        </c:scaling>
        <c:axPos val="l"/>
        <c:numFmt formatCode="General" sourceLinked="1"/>
        <c:tickLblPos val="nextTo"/>
        <c:txPr>
          <a:bodyPr/>
          <a:lstStyle/>
          <a:p>
            <a:pPr>
              <a:defRPr sz="800"/>
            </a:pPr>
            <a:endParaRPr lang="pl-PL"/>
          </a:p>
        </c:txPr>
        <c:crossAx val="108951424"/>
        <c:crosses val="autoZero"/>
        <c:crossBetween val="between"/>
      </c:valAx>
      <c:spPr>
        <a:solidFill>
          <a:schemeClr val="bg1">
            <a:lumMod val="95000"/>
          </a:scheme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2.6705661767687797E-2"/>
          <c:y val="0.75711310741246407"/>
          <c:w val="0.9704984861283803"/>
          <c:h val="0.22264645101653771"/>
        </c:manualLayout>
      </c:layout>
      <c:txPr>
        <a:bodyPr/>
        <a:lstStyle/>
        <a:p>
          <a:pPr>
            <a:defRPr sz="900"/>
          </a:pPr>
          <a:endParaRPr lang="pl-PL"/>
        </a:p>
      </c:txPr>
    </c:legend>
    <c:plotVisOnly val="1"/>
  </c:chart>
  <c:spPr>
    <a:solidFill>
      <a:schemeClr val="bg1">
        <a:lumMod val="95000"/>
      </a:schemeClr>
    </a:solidFill>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9.8675836164025352E-2"/>
          <c:y val="2.9132794695231588E-2"/>
          <c:w val="0.87231999508361691"/>
          <c:h val="0.57220096734641912"/>
        </c:manualLayout>
      </c:layout>
      <c:barChart>
        <c:barDir val="col"/>
        <c:grouping val="clustered"/>
        <c:ser>
          <c:idx val="0"/>
          <c:order val="0"/>
          <c:tx>
            <c:v>Mężczyźni</c:v>
          </c:tx>
          <c:dLbls>
            <c:txPr>
              <a:bodyPr rot="-5400000" vert="horz"/>
              <a:lstStyle/>
              <a:p>
                <a:pPr>
                  <a:defRPr/>
                </a:pPr>
                <a:endParaRPr lang="pl-PL"/>
              </a:p>
            </c:txPr>
            <c:showSerName val="1"/>
          </c:dLbls>
          <c:cat>
            <c:strRef>
              <c:f>Zbiorczy!$C$20:$D$20</c:f>
              <c:strCache>
                <c:ptCount val="2"/>
                <c:pt idx="0">
                  <c:v>NIE</c:v>
                </c:pt>
                <c:pt idx="1">
                  <c:v>TAK</c:v>
                </c:pt>
              </c:strCache>
            </c:strRef>
          </c:cat>
          <c:val>
            <c:numRef>
              <c:f>Zbiorczy!$C$4:$D$4</c:f>
              <c:numCache>
                <c:formatCode>0%</c:formatCode>
                <c:ptCount val="2"/>
                <c:pt idx="0">
                  <c:v>0.13333333333333341</c:v>
                </c:pt>
                <c:pt idx="1">
                  <c:v>0.8666666666666667</c:v>
                </c:pt>
              </c:numCache>
            </c:numRef>
          </c:val>
        </c:ser>
        <c:ser>
          <c:idx val="1"/>
          <c:order val="1"/>
          <c:tx>
            <c:v>Kobiety</c:v>
          </c:tx>
          <c:dLbls>
            <c:txPr>
              <a:bodyPr rot="-5400000" vert="horz"/>
              <a:lstStyle/>
              <a:p>
                <a:pPr>
                  <a:defRPr/>
                </a:pPr>
                <a:endParaRPr lang="pl-PL"/>
              </a:p>
            </c:txPr>
            <c:showSerName val="1"/>
          </c:dLbls>
          <c:val>
            <c:numRef>
              <c:f>Zbiorczy!$F$4:$G$4</c:f>
              <c:numCache>
                <c:formatCode>0%</c:formatCode>
                <c:ptCount val="2"/>
                <c:pt idx="0">
                  <c:v>0.10071942446043169</c:v>
                </c:pt>
                <c:pt idx="1">
                  <c:v>0.89928057553956831</c:v>
                </c:pt>
              </c:numCache>
            </c:numRef>
          </c:val>
        </c:ser>
        <c:ser>
          <c:idx val="9"/>
          <c:order val="2"/>
          <c:val>
            <c:numLit>
              <c:formatCode>General</c:formatCode>
              <c:ptCount val="1"/>
              <c:pt idx="0">
                <c:v>0</c:v>
              </c:pt>
            </c:numLit>
          </c:val>
        </c:ser>
        <c:ser>
          <c:idx val="2"/>
          <c:order val="3"/>
          <c:tx>
            <c:v>Wykształcenie wyższe</c:v>
          </c:tx>
          <c:val>
            <c:numRef>
              <c:f>Zbiorczy!$I$4:$J$4</c:f>
              <c:numCache>
                <c:formatCode>0%</c:formatCode>
                <c:ptCount val="2"/>
                <c:pt idx="0">
                  <c:v>0.25</c:v>
                </c:pt>
                <c:pt idx="1">
                  <c:v>0.75000000000000133</c:v>
                </c:pt>
              </c:numCache>
            </c:numRef>
          </c:val>
        </c:ser>
        <c:ser>
          <c:idx val="3"/>
          <c:order val="4"/>
          <c:tx>
            <c:v>Wykształcenie średnie i policealne</c:v>
          </c:tx>
          <c:val>
            <c:numRef>
              <c:f>Zbiorczy!$L$4:$M$4</c:f>
              <c:numCache>
                <c:formatCode>0%</c:formatCode>
                <c:ptCount val="2"/>
                <c:pt idx="0">
                  <c:v>7.4626865671641784E-2</c:v>
                </c:pt>
                <c:pt idx="1">
                  <c:v>0.92537313432835822</c:v>
                </c:pt>
              </c:numCache>
            </c:numRef>
          </c:val>
        </c:ser>
        <c:ser>
          <c:idx val="4"/>
          <c:order val="5"/>
          <c:tx>
            <c:v>Wykształcenie zasadnicze zawodowe i poniżej</c:v>
          </c:tx>
          <c:val>
            <c:numRef>
              <c:f>Zbiorczy!$O$4:$P$4</c:f>
              <c:numCache>
                <c:formatCode>0%</c:formatCode>
                <c:ptCount val="2"/>
                <c:pt idx="0">
                  <c:v>0.11210762331838565</c:v>
                </c:pt>
                <c:pt idx="1">
                  <c:v>0.88789237668161469</c:v>
                </c:pt>
              </c:numCache>
            </c:numRef>
          </c:val>
        </c:ser>
        <c:ser>
          <c:idx val="10"/>
          <c:order val="6"/>
          <c:val>
            <c:numLit>
              <c:formatCode>General</c:formatCode>
              <c:ptCount val="1"/>
              <c:pt idx="0">
                <c:v>0</c:v>
              </c:pt>
            </c:numLit>
          </c:val>
        </c:ser>
        <c:ser>
          <c:idx val="5"/>
          <c:order val="7"/>
          <c:tx>
            <c:v>Wiek: 18-29</c:v>
          </c:tx>
          <c:val>
            <c:numRef>
              <c:f>Zbiorczy!$R$4:$S$4</c:f>
              <c:numCache>
                <c:formatCode>0%</c:formatCode>
                <c:ptCount val="2"/>
                <c:pt idx="0">
                  <c:v>0.15577889447236251</c:v>
                </c:pt>
                <c:pt idx="1">
                  <c:v>0.84422110552763818</c:v>
                </c:pt>
              </c:numCache>
            </c:numRef>
          </c:val>
        </c:ser>
        <c:ser>
          <c:idx val="6"/>
          <c:order val="8"/>
          <c:tx>
            <c:v>Wiek: 30-39</c:v>
          </c:tx>
          <c:val>
            <c:numRef>
              <c:f>Zbiorczy!$U$4:$V$4</c:f>
              <c:numCache>
                <c:formatCode>0%</c:formatCode>
                <c:ptCount val="2"/>
                <c:pt idx="0">
                  <c:v>7.5949367088607597E-2</c:v>
                </c:pt>
                <c:pt idx="1">
                  <c:v>0.92405063291139378</c:v>
                </c:pt>
              </c:numCache>
            </c:numRef>
          </c:val>
        </c:ser>
        <c:ser>
          <c:idx val="7"/>
          <c:order val="9"/>
          <c:tx>
            <c:v>Wiek: 40-59</c:v>
          </c:tx>
          <c:val>
            <c:numRef>
              <c:f>Zbiorczy!$X$4:$Y$4</c:f>
              <c:numCache>
                <c:formatCode>0%</c:formatCode>
                <c:ptCount val="2"/>
                <c:pt idx="0">
                  <c:v>0.11838006230529595</c:v>
                </c:pt>
                <c:pt idx="1">
                  <c:v>0.8816199376947057</c:v>
                </c:pt>
              </c:numCache>
            </c:numRef>
          </c:val>
        </c:ser>
        <c:ser>
          <c:idx val="8"/>
          <c:order val="10"/>
          <c:tx>
            <c:v>Wiek: 60 i powyżej</c:v>
          </c:tx>
          <c:val>
            <c:numRef>
              <c:f>Zbiorczy!$AA$4:$AB$4</c:f>
              <c:numCache>
                <c:formatCode>0%</c:formatCode>
                <c:ptCount val="2"/>
                <c:pt idx="0">
                  <c:v>0.10416666666666684</c:v>
                </c:pt>
                <c:pt idx="1">
                  <c:v>0.8958333333333337</c:v>
                </c:pt>
              </c:numCache>
            </c:numRef>
          </c:val>
        </c:ser>
        <c:gapWidth val="136"/>
        <c:overlap val="-15"/>
        <c:axId val="110191744"/>
        <c:axId val="110193280"/>
      </c:barChart>
      <c:catAx>
        <c:axId val="110191744"/>
        <c:scaling>
          <c:orientation val="minMax"/>
        </c:scaling>
        <c:axPos val="b"/>
        <c:majorGridlines/>
        <c:tickLblPos val="nextTo"/>
        <c:crossAx val="110193280"/>
        <c:crosses val="autoZero"/>
        <c:auto val="1"/>
        <c:lblAlgn val="ctr"/>
        <c:lblOffset val="100"/>
      </c:catAx>
      <c:valAx>
        <c:axId val="110193280"/>
        <c:scaling>
          <c:orientation val="minMax"/>
        </c:scaling>
        <c:axPos val="l"/>
        <c:numFmt formatCode="0%" sourceLinked="1"/>
        <c:tickLblPos val="nextTo"/>
        <c:txPr>
          <a:bodyPr/>
          <a:lstStyle/>
          <a:p>
            <a:pPr>
              <a:defRPr sz="800"/>
            </a:pPr>
            <a:endParaRPr lang="pl-PL"/>
          </a:p>
        </c:txPr>
        <c:crossAx val="110191744"/>
        <c:crosses val="autoZero"/>
        <c:crossBetween val="between"/>
        <c:majorUnit val="0.2"/>
      </c:valAx>
      <c:spPr>
        <a:solidFill>
          <a:schemeClr val="bg1">
            <a:lumMod val="95000"/>
          </a:scheme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1.910472689613478E-2"/>
          <c:y val="0.75711310741246407"/>
          <c:w val="0.9782974158754657"/>
          <c:h val="0.22264645101653771"/>
        </c:manualLayout>
      </c:layout>
      <c:txPr>
        <a:bodyPr/>
        <a:lstStyle/>
        <a:p>
          <a:pPr>
            <a:defRPr sz="900"/>
          </a:pPr>
          <a:endParaRPr lang="pl-PL"/>
        </a:p>
      </c:txPr>
    </c:legend>
    <c:plotVisOnly val="1"/>
  </c:chart>
  <c:spPr>
    <a:solidFill>
      <a:schemeClr val="bg1">
        <a:lumMod val="95000"/>
      </a:schemeClr>
    </a:solidFill>
    <a:ln>
      <a:noFill/>
    </a:ln>
  </c:sp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6.2209478196941427E-2"/>
          <c:y val="4.2999992475941828E-2"/>
          <c:w val="0.90878635305070077"/>
          <c:h val="0.66734333029862991"/>
        </c:manualLayout>
      </c:layout>
      <c:barChart>
        <c:barDir val="col"/>
        <c:grouping val="clustered"/>
        <c:ser>
          <c:idx val="0"/>
          <c:order val="0"/>
          <c:tx>
            <c:v>Mężczyźni</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Zbiorczy!$E$4</c:f>
              <c:numCache>
                <c:formatCode>General</c:formatCode>
                <c:ptCount val="1"/>
                <c:pt idx="0">
                  <c:v>4.2755102040816331</c:v>
                </c:pt>
              </c:numCache>
            </c:numRef>
          </c:val>
        </c:ser>
        <c:ser>
          <c:idx val="1"/>
          <c:order val="1"/>
          <c:tx>
            <c:v>Kobiety</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Zbiorczy!$H$4</c:f>
              <c:numCache>
                <c:formatCode>General</c:formatCode>
                <c:ptCount val="1"/>
                <c:pt idx="0">
                  <c:v>4.1683168316831685</c:v>
                </c:pt>
              </c:numCache>
            </c:numRef>
          </c:val>
        </c:ser>
        <c:ser>
          <c:idx val="9"/>
          <c:order val="2"/>
          <c:val>
            <c:numLit>
              <c:formatCode>General</c:formatCode>
              <c:ptCount val="1"/>
              <c:pt idx="0">
                <c:v>0</c:v>
              </c:pt>
            </c:numLit>
          </c:val>
        </c:ser>
        <c:ser>
          <c:idx val="2"/>
          <c:order val="3"/>
          <c:tx>
            <c:v>Wykształcenie wyższe</c:v>
          </c:tx>
          <c:val>
            <c:numRef>
              <c:f>Zbiorczy!$K$4</c:f>
              <c:numCache>
                <c:formatCode>General</c:formatCode>
                <c:ptCount val="1"/>
                <c:pt idx="0">
                  <c:v>4.1923076923076925</c:v>
                </c:pt>
              </c:numCache>
            </c:numRef>
          </c:val>
        </c:ser>
        <c:ser>
          <c:idx val="3"/>
          <c:order val="4"/>
          <c:tx>
            <c:v>Wykształcenie średnie i policealne</c:v>
          </c:tx>
          <c:val>
            <c:numRef>
              <c:f>Zbiorczy!$N$4</c:f>
              <c:numCache>
                <c:formatCode>General</c:formatCode>
                <c:ptCount val="1"/>
                <c:pt idx="0">
                  <c:v>4.1969696969696972</c:v>
                </c:pt>
              </c:numCache>
            </c:numRef>
          </c:val>
        </c:ser>
        <c:ser>
          <c:idx val="4"/>
          <c:order val="5"/>
          <c:tx>
            <c:v>Wykształcenie zasadnicze zawodowe i poniżej</c:v>
          </c:tx>
          <c:val>
            <c:numRef>
              <c:f>Zbiorczy!$Q$4</c:f>
              <c:numCache>
                <c:formatCode>General</c:formatCode>
                <c:ptCount val="1"/>
                <c:pt idx="0">
                  <c:v>4.2452830188679274</c:v>
                </c:pt>
              </c:numCache>
            </c:numRef>
          </c:val>
        </c:ser>
        <c:ser>
          <c:idx val="10"/>
          <c:order val="6"/>
          <c:val>
            <c:numLit>
              <c:formatCode>General</c:formatCode>
              <c:ptCount val="1"/>
              <c:pt idx="0">
                <c:v>0</c:v>
              </c:pt>
            </c:numLit>
          </c:val>
        </c:ser>
        <c:ser>
          <c:idx val="5"/>
          <c:order val="7"/>
          <c:tx>
            <c:v>Wiek: 18-29</c:v>
          </c:tx>
          <c:val>
            <c:numRef>
              <c:f>Zbiorczy!$T$4</c:f>
              <c:numCache>
                <c:formatCode>General</c:formatCode>
                <c:ptCount val="1"/>
                <c:pt idx="0">
                  <c:v>4.1599999999999975</c:v>
                </c:pt>
              </c:numCache>
            </c:numRef>
          </c:val>
        </c:ser>
        <c:ser>
          <c:idx val="6"/>
          <c:order val="8"/>
          <c:tx>
            <c:v>Wiek: 30-39</c:v>
          </c:tx>
          <c:val>
            <c:numRef>
              <c:f>Zbiorczy!$W$4</c:f>
              <c:numCache>
                <c:formatCode>General</c:formatCode>
                <c:ptCount val="1"/>
                <c:pt idx="0">
                  <c:v>4.1794871794871797</c:v>
                </c:pt>
              </c:numCache>
            </c:numRef>
          </c:val>
        </c:ser>
        <c:ser>
          <c:idx val="7"/>
          <c:order val="9"/>
          <c:tx>
            <c:v>Wiek: 40-59</c:v>
          </c:tx>
          <c:val>
            <c:numRef>
              <c:f>Zbiorczy!$Z$4</c:f>
              <c:numCache>
                <c:formatCode>General</c:formatCode>
                <c:ptCount val="1"/>
                <c:pt idx="0">
                  <c:v>4.3333333333333446</c:v>
                </c:pt>
              </c:numCache>
            </c:numRef>
          </c:val>
        </c:ser>
        <c:ser>
          <c:idx val="8"/>
          <c:order val="10"/>
          <c:tx>
            <c:v>Wiek: 60 i powyżej</c:v>
          </c:tx>
          <c:val>
            <c:numRef>
              <c:f>Zbiorczy!$AC$4</c:f>
              <c:numCache>
                <c:formatCode>General</c:formatCode>
                <c:ptCount val="1"/>
                <c:pt idx="0">
                  <c:v>4.1142857142856997</c:v>
                </c:pt>
              </c:numCache>
            </c:numRef>
          </c:val>
        </c:ser>
        <c:axId val="110264704"/>
        <c:axId val="110266240"/>
      </c:barChart>
      <c:catAx>
        <c:axId val="110264704"/>
        <c:scaling>
          <c:orientation val="minMax"/>
        </c:scaling>
        <c:delete val="1"/>
        <c:axPos val="b"/>
        <c:tickLblPos val="none"/>
        <c:crossAx val="110266240"/>
        <c:crosses val="autoZero"/>
        <c:auto val="1"/>
        <c:lblAlgn val="ctr"/>
        <c:lblOffset val="100"/>
      </c:catAx>
      <c:valAx>
        <c:axId val="110266240"/>
        <c:scaling>
          <c:orientation val="minMax"/>
          <c:max val="5"/>
        </c:scaling>
        <c:axPos val="l"/>
        <c:numFmt formatCode="General" sourceLinked="1"/>
        <c:tickLblPos val="nextTo"/>
        <c:txPr>
          <a:bodyPr/>
          <a:lstStyle/>
          <a:p>
            <a:pPr>
              <a:defRPr sz="800"/>
            </a:pPr>
            <a:endParaRPr lang="pl-PL"/>
          </a:p>
        </c:txPr>
        <c:crossAx val="110264704"/>
        <c:crosses val="autoZero"/>
        <c:crossBetween val="between"/>
        <c:majorUnit val="1"/>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1.3879537253282472E-2"/>
          <c:y val="0.75711310741246407"/>
          <c:w val="0.97034815444669753"/>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0.10090305683975964"/>
          <c:y val="4.8662546315632167E-2"/>
          <c:w val="0.86943805644912031"/>
          <c:h val="0.57926055919779584"/>
        </c:manualLayout>
      </c:layout>
      <c:barChart>
        <c:barDir val="col"/>
        <c:grouping val="clustered"/>
        <c:ser>
          <c:idx val="0"/>
          <c:order val="0"/>
          <c:tx>
            <c:v>Mężczyźni</c:v>
          </c:tx>
          <c:dLbls>
            <c:txPr>
              <a:bodyPr rot="-5400000" vert="horz"/>
              <a:lstStyle/>
              <a:p>
                <a:pPr>
                  <a:defRPr/>
                </a:pPr>
                <a:endParaRPr lang="pl-PL"/>
              </a:p>
            </c:txPr>
            <c:showSerName val="1"/>
          </c:dLbls>
          <c:cat>
            <c:strRef>
              <c:f>Zbiorczy!$C$20:$D$20</c:f>
              <c:strCache>
                <c:ptCount val="2"/>
                <c:pt idx="0">
                  <c:v>NIE</c:v>
                </c:pt>
                <c:pt idx="1">
                  <c:v>TAK</c:v>
                </c:pt>
              </c:strCache>
            </c:strRef>
          </c:cat>
          <c:val>
            <c:numRef>
              <c:f>Zbiorczy!$C$5:$D$5</c:f>
              <c:numCache>
                <c:formatCode>0%</c:formatCode>
                <c:ptCount val="2"/>
                <c:pt idx="0">
                  <c:v>0.10840108401084012</c:v>
                </c:pt>
                <c:pt idx="1">
                  <c:v>0.89159891598915986</c:v>
                </c:pt>
              </c:numCache>
            </c:numRef>
          </c:val>
        </c:ser>
        <c:ser>
          <c:idx val="1"/>
          <c:order val="1"/>
          <c:tx>
            <c:v>Kobiety</c:v>
          </c:tx>
          <c:dLbls>
            <c:txPr>
              <a:bodyPr rot="-5400000" vert="horz"/>
              <a:lstStyle/>
              <a:p>
                <a:pPr>
                  <a:defRPr/>
                </a:pPr>
                <a:endParaRPr lang="pl-PL"/>
              </a:p>
            </c:txPr>
            <c:showSerName val="1"/>
          </c:dLbls>
          <c:val>
            <c:numRef>
              <c:f>Zbiorczy!$F$5:$G$5</c:f>
              <c:numCache>
                <c:formatCode>0%</c:formatCode>
                <c:ptCount val="2"/>
                <c:pt idx="0">
                  <c:v>0.15789473684210595</c:v>
                </c:pt>
                <c:pt idx="1">
                  <c:v>0.84210526315789613</c:v>
                </c:pt>
              </c:numCache>
            </c:numRef>
          </c:val>
        </c:ser>
        <c:ser>
          <c:idx val="9"/>
          <c:order val="2"/>
          <c:val>
            <c:numLit>
              <c:formatCode>General</c:formatCode>
              <c:ptCount val="1"/>
              <c:pt idx="0">
                <c:v>0</c:v>
              </c:pt>
            </c:numLit>
          </c:val>
        </c:ser>
        <c:ser>
          <c:idx val="2"/>
          <c:order val="3"/>
          <c:tx>
            <c:v>Wykształcenie wyższe</c:v>
          </c:tx>
          <c:val>
            <c:numRef>
              <c:f>Zbiorczy!$I$5:$J$5</c:f>
              <c:numCache>
                <c:formatCode>0%</c:formatCode>
                <c:ptCount val="2"/>
                <c:pt idx="0">
                  <c:v>0.22330097087378617</c:v>
                </c:pt>
                <c:pt idx="1">
                  <c:v>0.77669902912621513</c:v>
                </c:pt>
              </c:numCache>
            </c:numRef>
          </c:val>
        </c:ser>
        <c:ser>
          <c:idx val="3"/>
          <c:order val="4"/>
          <c:tx>
            <c:v>Wykształcenie średnie i policealne</c:v>
          </c:tx>
          <c:val>
            <c:numRef>
              <c:f>Zbiorczy!$L$5:$M$5</c:f>
              <c:numCache>
                <c:formatCode>0%</c:formatCode>
                <c:ptCount val="2"/>
                <c:pt idx="0">
                  <c:v>0.11297071129707111</c:v>
                </c:pt>
                <c:pt idx="1">
                  <c:v>0.88702928870292719</c:v>
                </c:pt>
              </c:numCache>
            </c:numRef>
          </c:val>
        </c:ser>
        <c:ser>
          <c:idx val="4"/>
          <c:order val="5"/>
          <c:tx>
            <c:v>Wykształcenie zasadnicze zawodowe i poniżej</c:v>
          </c:tx>
          <c:val>
            <c:numRef>
              <c:f>Zbiorczy!$O$5:$P$5</c:f>
              <c:numCache>
                <c:formatCode>0%</c:formatCode>
                <c:ptCount val="2"/>
                <c:pt idx="0">
                  <c:v>0.11444141689373281</c:v>
                </c:pt>
                <c:pt idx="1">
                  <c:v>0.88555858310626479</c:v>
                </c:pt>
              </c:numCache>
            </c:numRef>
          </c:val>
        </c:ser>
        <c:ser>
          <c:idx val="10"/>
          <c:order val="6"/>
          <c:val>
            <c:numLit>
              <c:formatCode>General</c:formatCode>
              <c:ptCount val="1"/>
              <c:pt idx="0">
                <c:v>0</c:v>
              </c:pt>
            </c:numLit>
          </c:val>
        </c:ser>
        <c:ser>
          <c:idx val="5"/>
          <c:order val="7"/>
          <c:tx>
            <c:v>Wiek: 18-29</c:v>
          </c:tx>
          <c:val>
            <c:numRef>
              <c:f>Zbiorczy!$R$5:$S$5</c:f>
              <c:numCache>
                <c:formatCode>0%</c:formatCode>
                <c:ptCount val="2"/>
                <c:pt idx="0">
                  <c:v>0.13812154696132597</c:v>
                </c:pt>
                <c:pt idx="1">
                  <c:v>0.86187845303867683</c:v>
                </c:pt>
              </c:numCache>
            </c:numRef>
          </c:val>
        </c:ser>
        <c:ser>
          <c:idx val="6"/>
          <c:order val="8"/>
          <c:tx>
            <c:v>Wiek: 30-39</c:v>
          </c:tx>
          <c:val>
            <c:numRef>
              <c:f>Zbiorczy!$U$5:$V$5</c:f>
              <c:numCache>
                <c:formatCode>0%</c:formatCode>
                <c:ptCount val="2"/>
                <c:pt idx="0">
                  <c:v>0.2244897959183674</c:v>
                </c:pt>
                <c:pt idx="1">
                  <c:v>0.77551020408163251</c:v>
                </c:pt>
              </c:numCache>
            </c:numRef>
          </c:val>
        </c:ser>
        <c:ser>
          <c:idx val="7"/>
          <c:order val="9"/>
          <c:tx>
            <c:v>Wiek: 40-59</c:v>
          </c:tx>
          <c:val>
            <c:numRef>
              <c:f>Zbiorczy!$X$5:$Y$5</c:f>
              <c:numCache>
                <c:formatCode>0%</c:formatCode>
                <c:ptCount val="2"/>
                <c:pt idx="0">
                  <c:v>8.7786259541984699E-2</c:v>
                </c:pt>
                <c:pt idx="1">
                  <c:v>0.91221374045801529</c:v>
                </c:pt>
              </c:numCache>
            </c:numRef>
          </c:val>
        </c:ser>
        <c:ser>
          <c:idx val="8"/>
          <c:order val="10"/>
          <c:tx>
            <c:v>Wiek: 60 i powyżej</c:v>
          </c:tx>
          <c:val>
            <c:numRef>
              <c:f>Zbiorczy!$AA$5:$AB$5</c:f>
              <c:numCache>
                <c:formatCode>0%</c:formatCode>
                <c:ptCount val="2"/>
                <c:pt idx="0">
                  <c:v>0.10743801652892561</c:v>
                </c:pt>
                <c:pt idx="1">
                  <c:v>0.8925619834710744</c:v>
                </c:pt>
              </c:numCache>
            </c:numRef>
          </c:val>
        </c:ser>
        <c:gapWidth val="136"/>
        <c:overlap val="-15"/>
        <c:axId val="110304640"/>
        <c:axId val="110322816"/>
      </c:barChart>
      <c:catAx>
        <c:axId val="110304640"/>
        <c:scaling>
          <c:orientation val="minMax"/>
        </c:scaling>
        <c:axPos val="b"/>
        <c:majorGridlines/>
        <c:tickLblPos val="nextTo"/>
        <c:crossAx val="110322816"/>
        <c:crosses val="autoZero"/>
        <c:auto val="1"/>
        <c:lblAlgn val="ctr"/>
        <c:lblOffset val="100"/>
      </c:catAx>
      <c:valAx>
        <c:axId val="110322816"/>
        <c:scaling>
          <c:orientation val="minMax"/>
        </c:scaling>
        <c:axPos val="l"/>
        <c:numFmt formatCode="0%" sourceLinked="1"/>
        <c:tickLblPos val="nextTo"/>
        <c:txPr>
          <a:bodyPr/>
          <a:lstStyle/>
          <a:p>
            <a:pPr>
              <a:defRPr sz="800"/>
            </a:pPr>
            <a:endParaRPr lang="pl-PL"/>
          </a:p>
        </c:txPr>
        <c:crossAx val="110304640"/>
        <c:crosses val="autoZero"/>
        <c:crossBetween val="between"/>
      </c:valAx>
      <c:spPr>
        <a:solidFill>
          <a:schemeClr val="bg1">
            <a:lumMod val="95000"/>
          </a:scheme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1.4522876194423023E-2"/>
          <c:y val="0.75711310741246407"/>
          <c:w val="0.9846414947569373"/>
          <c:h val="0.22264645101653771"/>
        </c:manualLayout>
      </c:layout>
      <c:txPr>
        <a:bodyPr/>
        <a:lstStyle/>
        <a:p>
          <a:pPr>
            <a:defRPr sz="900"/>
          </a:pPr>
          <a:endParaRPr lang="pl-PL"/>
        </a:p>
      </c:txPr>
    </c:legend>
    <c:plotVisOnly val="1"/>
  </c:chart>
  <c:spPr>
    <a:solidFill>
      <a:schemeClr val="bg1">
        <a:lumMod val="95000"/>
      </a:schemeClr>
    </a:solidFill>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6.1263028074560161E-2"/>
          <c:y val="2.9371575484370822E-2"/>
          <c:w val="0.91017416564710196"/>
          <c:h val="0.68363960845608451"/>
        </c:manualLayout>
      </c:layout>
      <c:barChart>
        <c:barDir val="col"/>
        <c:grouping val="clustered"/>
        <c:ser>
          <c:idx val="0"/>
          <c:order val="0"/>
          <c:tx>
            <c:v>Mężczyźni</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Zbiorczy!$E$5</c:f>
              <c:numCache>
                <c:formatCode>General</c:formatCode>
                <c:ptCount val="1"/>
                <c:pt idx="0">
                  <c:v>4.1020408163265198</c:v>
                </c:pt>
              </c:numCache>
            </c:numRef>
          </c:val>
        </c:ser>
        <c:ser>
          <c:idx val="1"/>
          <c:order val="1"/>
          <c:tx>
            <c:v>Kobiety</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Zbiorczy!$H$5</c:f>
              <c:numCache>
                <c:formatCode>General</c:formatCode>
                <c:ptCount val="1"/>
                <c:pt idx="0">
                  <c:v>3.73</c:v>
                </c:pt>
              </c:numCache>
            </c:numRef>
          </c:val>
        </c:ser>
        <c:ser>
          <c:idx val="9"/>
          <c:order val="2"/>
          <c:val>
            <c:numLit>
              <c:formatCode>General</c:formatCode>
              <c:ptCount val="1"/>
              <c:pt idx="0">
                <c:v>0</c:v>
              </c:pt>
            </c:numLit>
          </c:val>
        </c:ser>
        <c:ser>
          <c:idx val="2"/>
          <c:order val="3"/>
          <c:tx>
            <c:v>Wykształcenie wyższe</c:v>
          </c:tx>
          <c:val>
            <c:numRef>
              <c:f>Zbiorczy!$K$5</c:f>
              <c:numCache>
                <c:formatCode>General</c:formatCode>
                <c:ptCount val="1"/>
                <c:pt idx="0">
                  <c:v>4.1199999999999966</c:v>
                </c:pt>
              </c:numCache>
            </c:numRef>
          </c:val>
        </c:ser>
        <c:ser>
          <c:idx val="3"/>
          <c:order val="4"/>
          <c:tx>
            <c:v>Wykształcenie średnie i policealne</c:v>
          </c:tx>
          <c:val>
            <c:numRef>
              <c:f>Zbiorczy!$N$5</c:f>
              <c:numCache>
                <c:formatCode>General</c:formatCode>
                <c:ptCount val="1"/>
                <c:pt idx="0">
                  <c:v>3.9393939393939377</c:v>
                </c:pt>
              </c:numCache>
            </c:numRef>
          </c:val>
        </c:ser>
        <c:ser>
          <c:idx val="4"/>
          <c:order val="5"/>
          <c:tx>
            <c:v>Wykształcenie zasadnicze zawodowe i poniżej</c:v>
          </c:tx>
          <c:val>
            <c:numRef>
              <c:f>Zbiorczy!$Q$5</c:f>
              <c:numCache>
                <c:formatCode>General</c:formatCode>
                <c:ptCount val="1"/>
                <c:pt idx="0">
                  <c:v>3.8679245283018915</c:v>
                </c:pt>
              </c:numCache>
            </c:numRef>
          </c:val>
        </c:ser>
        <c:ser>
          <c:idx val="10"/>
          <c:order val="6"/>
          <c:val>
            <c:numLit>
              <c:formatCode>General</c:formatCode>
              <c:ptCount val="1"/>
              <c:pt idx="0">
                <c:v>0</c:v>
              </c:pt>
            </c:numLit>
          </c:val>
        </c:ser>
        <c:ser>
          <c:idx val="5"/>
          <c:order val="7"/>
          <c:tx>
            <c:v>Wiek: 18-29</c:v>
          </c:tx>
          <c:val>
            <c:numRef>
              <c:f>Zbiorczy!$T$5</c:f>
              <c:numCache>
                <c:formatCode>General</c:formatCode>
                <c:ptCount val="1"/>
                <c:pt idx="0">
                  <c:v>3.9</c:v>
                </c:pt>
              </c:numCache>
            </c:numRef>
          </c:val>
        </c:ser>
        <c:ser>
          <c:idx val="6"/>
          <c:order val="8"/>
          <c:tx>
            <c:v>Wiek: 30-39</c:v>
          </c:tx>
          <c:val>
            <c:numRef>
              <c:f>Zbiorczy!$W$5</c:f>
              <c:numCache>
                <c:formatCode>General</c:formatCode>
                <c:ptCount val="1"/>
                <c:pt idx="0">
                  <c:v>3.9230769230769229</c:v>
                </c:pt>
              </c:numCache>
            </c:numRef>
          </c:val>
        </c:ser>
        <c:ser>
          <c:idx val="7"/>
          <c:order val="9"/>
          <c:tx>
            <c:v>Wiek: 40-59</c:v>
          </c:tx>
          <c:val>
            <c:numRef>
              <c:f>Zbiorczy!$Z$5</c:f>
              <c:numCache>
                <c:formatCode>General</c:formatCode>
                <c:ptCount val="1"/>
                <c:pt idx="0">
                  <c:v>4.0135135135135105</c:v>
                </c:pt>
              </c:numCache>
            </c:numRef>
          </c:val>
        </c:ser>
        <c:ser>
          <c:idx val="8"/>
          <c:order val="10"/>
          <c:tx>
            <c:v>Wiek: 60 i powyżej</c:v>
          </c:tx>
          <c:val>
            <c:numRef>
              <c:f>Zbiorczy!$AC$5</c:f>
              <c:numCache>
                <c:formatCode>General</c:formatCode>
                <c:ptCount val="1"/>
                <c:pt idx="0">
                  <c:v>3.7142857142857144</c:v>
                </c:pt>
              </c:numCache>
            </c:numRef>
          </c:val>
        </c:ser>
        <c:axId val="110357120"/>
        <c:axId val="110379392"/>
      </c:barChart>
      <c:catAx>
        <c:axId val="110357120"/>
        <c:scaling>
          <c:orientation val="minMax"/>
        </c:scaling>
        <c:delete val="1"/>
        <c:axPos val="b"/>
        <c:tickLblPos val="none"/>
        <c:crossAx val="110379392"/>
        <c:crosses val="autoZero"/>
        <c:auto val="1"/>
        <c:lblAlgn val="ctr"/>
        <c:lblOffset val="100"/>
      </c:catAx>
      <c:valAx>
        <c:axId val="110379392"/>
        <c:scaling>
          <c:orientation val="minMax"/>
          <c:max val="5"/>
        </c:scaling>
        <c:axPos val="l"/>
        <c:numFmt formatCode="General" sourceLinked="1"/>
        <c:tickLblPos val="nextTo"/>
        <c:txPr>
          <a:bodyPr/>
          <a:lstStyle/>
          <a:p>
            <a:pPr>
              <a:defRPr sz="800"/>
            </a:pPr>
            <a:endParaRPr lang="pl-PL"/>
          </a:p>
        </c:txPr>
        <c:crossAx val="110357120"/>
        <c:crosses val="autoZero"/>
        <c:crossBetween val="between"/>
        <c:majorUnit val="1"/>
      </c:valAx>
      <c:spPr>
        <a:solidFill>
          <a:schemeClr val="bg1">
            <a:lumMod val="95000"/>
          </a:scheme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1.7649754586334561E-2"/>
          <c:y val="0.75711310741246407"/>
          <c:w val="0.96948619337225239"/>
          <c:h val="0.22264645101653771"/>
        </c:manualLayout>
      </c:layout>
      <c:txPr>
        <a:bodyPr/>
        <a:lstStyle/>
        <a:p>
          <a:pPr>
            <a:defRPr sz="900"/>
          </a:pPr>
          <a:endParaRPr lang="pl-PL"/>
        </a:p>
      </c:txPr>
    </c:legend>
    <c:plotVisOnly val="1"/>
  </c:chart>
  <c:spPr>
    <a:solidFill>
      <a:schemeClr val="bg1">
        <a:lumMod val="95000"/>
      </a:schemeClr>
    </a:solid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1000"/>
            </a:pPr>
            <a:r>
              <a:rPr lang="en-US" sz="1000"/>
              <a:t>Wskaźnik obciążenia demograficznego dla gmin aglomeracji poznańskiej</a:t>
            </a:r>
          </a:p>
        </c:rich>
      </c:tx>
    </c:title>
    <c:plotArea>
      <c:layout>
        <c:manualLayout>
          <c:layoutTarget val="inner"/>
          <c:xMode val="edge"/>
          <c:yMode val="edge"/>
          <c:x val="0.24749516691077969"/>
          <c:y val="0.11665046685968528"/>
          <c:w val="0.72065069693667216"/>
          <c:h val="0.80055796625613418"/>
        </c:manualLayout>
      </c:layout>
      <c:barChart>
        <c:barDir val="bar"/>
        <c:grouping val="clustered"/>
        <c:ser>
          <c:idx val="0"/>
          <c:order val="0"/>
          <c:dPt>
            <c:idx val="7"/>
            <c:spPr>
              <a:solidFill>
                <a:schemeClr val="accent2"/>
              </a:solidFill>
            </c:spPr>
          </c:dPt>
          <c:dLbls>
            <c:txPr>
              <a:bodyPr/>
              <a:lstStyle/>
              <a:p>
                <a:pPr>
                  <a:defRPr sz="900"/>
                </a:pPr>
                <a:endParaRPr lang="pl-PL"/>
              </a:p>
            </c:txPr>
            <c:showVal val="1"/>
          </c:dLbls>
          <c:cat>
            <c:strRef>
              <c:f>'miasta do porównania'!$N$7:$N$27</c:f>
              <c:strCache>
                <c:ptCount val="21"/>
                <c:pt idx="0">
                  <c:v>Kleszczewo</c:v>
                </c:pt>
                <c:pt idx="1">
                  <c:v>Szamotuły</c:v>
                </c:pt>
                <c:pt idx="2">
                  <c:v>Buk</c:v>
                </c:pt>
                <c:pt idx="3">
                  <c:v>Kórnik</c:v>
                </c:pt>
                <c:pt idx="4">
                  <c:v>Puszczykowo</c:v>
                </c:pt>
                <c:pt idx="5">
                  <c:v>Luboń</c:v>
                </c:pt>
                <c:pt idx="6">
                  <c:v>Kostrzyn</c:v>
                </c:pt>
                <c:pt idx="7">
                  <c:v>Pobiedziska</c:v>
                </c:pt>
                <c:pt idx="8">
                  <c:v>Rokietnica</c:v>
                </c:pt>
                <c:pt idx="9">
                  <c:v>Mosina</c:v>
                </c:pt>
                <c:pt idx="10">
                  <c:v>Śrem</c:v>
                </c:pt>
                <c:pt idx="11">
                  <c:v>Tarnowo Podgórne</c:v>
                </c:pt>
                <c:pt idx="12">
                  <c:v>Stęszew</c:v>
                </c:pt>
                <c:pt idx="13">
                  <c:v>Dopiewo</c:v>
                </c:pt>
                <c:pt idx="14">
                  <c:v>Komorniki</c:v>
                </c:pt>
                <c:pt idx="15">
                  <c:v>Oborniki</c:v>
                </c:pt>
                <c:pt idx="16">
                  <c:v>Skoki</c:v>
                </c:pt>
                <c:pt idx="17">
                  <c:v>Swarzędz</c:v>
                </c:pt>
                <c:pt idx="18">
                  <c:v>Suchy Las</c:v>
                </c:pt>
                <c:pt idx="19">
                  <c:v>Czerwonak</c:v>
                </c:pt>
                <c:pt idx="20">
                  <c:v>Murowana Goślina</c:v>
                </c:pt>
              </c:strCache>
            </c:strRef>
          </c:cat>
          <c:val>
            <c:numRef>
              <c:f>'miasta do porównania'!$M$7:$M$27</c:f>
              <c:numCache>
                <c:formatCode>General</c:formatCode>
                <c:ptCount val="21"/>
                <c:pt idx="0">
                  <c:v>55.8</c:v>
                </c:pt>
                <c:pt idx="1">
                  <c:v>54.6</c:v>
                </c:pt>
                <c:pt idx="2">
                  <c:v>54.2</c:v>
                </c:pt>
                <c:pt idx="3">
                  <c:v>54.1</c:v>
                </c:pt>
                <c:pt idx="4">
                  <c:v>53.7</c:v>
                </c:pt>
                <c:pt idx="5">
                  <c:v>53.6</c:v>
                </c:pt>
                <c:pt idx="6">
                  <c:v>53.3</c:v>
                </c:pt>
                <c:pt idx="7">
                  <c:v>53</c:v>
                </c:pt>
                <c:pt idx="8">
                  <c:v>52.8</c:v>
                </c:pt>
                <c:pt idx="9">
                  <c:v>52.6</c:v>
                </c:pt>
                <c:pt idx="10">
                  <c:v>52.2</c:v>
                </c:pt>
                <c:pt idx="11">
                  <c:v>52.1</c:v>
                </c:pt>
                <c:pt idx="12">
                  <c:v>51.8</c:v>
                </c:pt>
                <c:pt idx="13">
                  <c:v>51.5</c:v>
                </c:pt>
                <c:pt idx="14">
                  <c:v>51.2</c:v>
                </c:pt>
                <c:pt idx="15">
                  <c:v>51.1</c:v>
                </c:pt>
                <c:pt idx="16">
                  <c:v>50.8</c:v>
                </c:pt>
                <c:pt idx="17">
                  <c:v>49.7</c:v>
                </c:pt>
                <c:pt idx="18">
                  <c:v>49.4</c:v>
                </c:pt>
                <c:pt idx="19">
                  <c:v>43.3</c:v>
                </c:pt>
                <c:pt idx="20">
                  <c:v>43.2</c:v>
                </c:pt>
              </c:numCache>
            </c:numRef>
          </c:val>
        </c:ser>
        <c:axId val="131165568"/>
        <c:axId val="131270144"/>
      </c:barChart>
      <c:catAx>
        <c:axId val="131165568"/>
        <c:scaling>
          <c:orientation val="minMax"/>
        </c:scaling>
        <c:axPos val="l"/>
        <c:numFmt formatCode="General" sourceLinked="1"/>
        <c:majorTickMark val="none"/>
        <c:tickLblPos val="nextTo"/>
        <c:txPr>
          <a:bodyPr/>
          <a:lstStyle/>
          <a:p>
            <a:pPr>
              <a:defRPr sz="900"/>
            </a:pPr>
            <a:endParaRPr lang="pl-PL"/>
          </a:p>
        </c:txPr>
        <c:crossAx val="131270144"/>
        <c:crosses val="autoZero"/>
        <c:auto val="1"/>
        <c:lblAlgn val="ctr"/>
        <c:lblOffset val="100"/>
      </c:catAx>
      <c:valAx>
        <c:axId val="131270144"/>
        <c:scaling>
          <c:orientation val="minMax"/>
        </c:scaling>
        <c:axPos val="b"/>
        <c:majorGridlines/>
        <c:numFmt formatCode="General" sourceLinked="1"/>
        <c:majorTickMark val="none"/>
        <c:tickLblPos val="nextTo"/>
        <c:txPr>
          <a:bodyPr/>
          <a:lstStyle/>
          <a:p>
            <a:pPr>
              <a:defRPr sz="900"/>
            </a:pPr>
            <a:endParaRPr lang="pl-PL"/>
          </a:p>
        </c:txPr>
        <c:crossAx val="131165568"/>
        <c:crosses val="autoZero"/>
        <c:crossBetween val="between"/>
      </c:valAx>
      <c:spPr>
        <a:solidFill>
          <a:schemeClr val="bg1">
            <a:lumMod val="95000"/>
          </a:schemeClr>
        </a:solidFill>
      </c:spPr>
    </c:plotArea>
    <c:plotVisOnly val="1"/>
    <c:dispBlanksAs val="gap"/>
  </c:chart>
  <c:spPr>
    <a:solidFill>
      <a:schemeClr val="bg1">
        <a:lumMod val="95000"/>
      </a:schemeClr>
    </a:solidFill>
    <a:ln>
      <a:noFill/>
    </a:ln>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876755622464011E-2"/>
          <c:y val="5.0148435060109908E-2"/>
          <c:w val="0.88196988742608695"/>
          <c:h val="0.57097242015557881"/>
        </c:manualLayout>
      </c:layout>
      <c:barChart>
        <c:barDir val="col"/>
        <c:grouping val="clustered"/>
        <c:ser>
          <c:idx val="0"/>
          <c:order val="0"/>
          <c:tx>
            <c:v>Mężczyźni</c:v>
          </c:tx>
          <c:dLbls>
            <c:txPr>
              <a:bodyPr rot="-5400000" vert="horz"/>
              <a:lstStyle/>
              <a:p>
                <a:pPr>
                  <a:defRPr/>
                </a:pPr>
                <a:endParaRPr lang="pl-PL"/>
              </a:p>
            </c:txPr>
            <c:showSerName val="1"/>
          </c:dLbls>
          <c:cat>
            <c:strRef>
              <c:f>Zbiorczy!$C$20:$D$20</c:f>
              <c:strCache>
                <c:ptCount val="2"/>
                <c:pt idx="0">
                  <c:v>NIE</c:v>
                </c:pt>
                <c:pt idx="1">
                  <c:v>TAK</c:v>
                </c:pt>
              </c:strCache>
            </c:strRef>
          </c:cat>
          <c:val>
            <c:numRef>
              <c:f>Zbiorczy!$C$6:$D$6</c:f>
              <c:numCache>
                <c:formatCode>0%</c:formatCode>
                <c:ptCount val="2"/>
                <c:pt idx="0">
                  <c:v>0.50735294117647056</c:v>
                </c:pt>
                <c:pt idx="1">
                  <c:v>0.49264705882352872</c:v>
                </c:pt>
              </c:numCache>
            </c:numRef>
          </c:val>
        </c:ser>
        <c:ser>
          <c:idx val="1"/>
          <c:order val="1"/>
          <c:tx>
            <c:v>Kobiety</c:v>
          </c:tx>
          <c:dLbls>
            <c:txPr>
              <a:bodyPr rot="-5400000" vert="horz"/>
              <a:lstStyle/>
              <a:p>
                <a:pPr>
                  <a:defRPr/>
                </a:pPr>
                <a:endParaRPr lang="pl-PL"/>
              </a:p>
            </c:txPr>
            <c:showSerName val="1"/>
          </c:dLbls>
          <c:val>
            <c:numRef>
              <c:f>Zbiorczy!$F$6:$G$6</c:f>
              <c:numCache>
                <c:formatCode>0%</c:formatCode>
                <c:ptCount val="2"/>
                <c:pt idx="0">
                  <c:v>0.52861952861952965</c:v>
                </c:pt>
                <c:pt idx="1">
                  <c:v>0.47138047138047334</c:v>
                </c:pt>
              </c:numCache>
            </c:numRef>
          </c:val>
        </c:ser>
        <c:ser>
          <c:idx val="9"/>
          <c:order val="2"/>
          <c:val>
            <c:numLit>
              <c:formatCode>General</c:formatCode>
              <c:ptCount val="1"/>
              <c:pt idx="0">
                <c:v>0</c:v>
              </c:pt>
            </c:numLit>
          </c:val>
        </c:ser>
        <c:ser>
          <c:idx val="2"/>
          <c:order val="3"/>
          <c:tx>
            <c:v>Wykształcenie wyższe</c:v>
          </c:tx>
          <c:val>
            <c:numRef>
              <c:f>Zbiorczy!$I$6:$J$6</c:f>
              <c:numCache>
                <c:formatCode>0%</c:formatCode>
                <c:ptCount val="2"/>
                <c:pt idx="0">
                  <c:v>0.53409090909090906</c:v>
                </c:pt>
                <c:pt idx="1">
                  <c:v>0.46590909090909088</c:v>
                </c:pt>
              </c:numCache>
            </c:numRef>
          </c:val>
        </c:ser>
        <c:ser>
          <c:idx val="3"/>
          <c:order val="4"/>
          <c:tx>
            <c:v>Wykształcenie średnie i policealne</c:v>
          </c:tx>
          <c:val>
            <c:numRef>
              <c:f>Zbiorczy!$L$6:$M$6</c:f>
              <c:numCache>
                <c:formatCode>0%</c:formatCode>
                <c:ptCount val="2"/>
                <c:pt idx="0">
                  <c:v>0.52427184466019583</c:v>
                </c:pt>
                <c:pt idx="1">
                  <c:v>0.47572815533980706</c:v>
                </c:pt>
              </c:numCache>
            </c:numRef>
          </c:val>
        </c:ser>
        <c:ser>
          <c:idx val="4"/>
          <c:order val="5"/>
          <c:tx>
            <c:v>Wykształcenie zasadnicze zawodowe i poniżej</c:v>
          </c:tx>
          <c:val>
            <c:numRef>
              <c:f>Zbiorczy!$O$6:$P$6</c:f>
              <c:numCache>
                <c:formatCode>0%</c:formatCode>
                <c:ptCount val="2"/>
                <c:pt idx="0">
                  <c:v>0.51660516605166051</c:v>
                </c:pt>
                <c:pt idx="1">
                  <c:v>0.48339483394833982</c:v>
                </c:pt>
              </c:numCache>
            </c:numRef>
          </c:val>
        </c:ser>
        <c:ser>
          <c:idx val="10"/>
          <c:order val="6"/>
          <c:val>
            <c:numLit>
              <c:formatCode>General</c:formatCode>
              <c:ptCount val="1"/>
              <c:pt idx="0">
                <c:v>0</c:v>
              </c:pt>
            </c:numLit>
          </c:val>
        </c:ser>
        <c:ser>
          <c:idx val="5"/>
          <c:order val="7"/>
          <c:tx>
            <c:v>Wiek: 18-29</c:v>
          </c:tx>
          <c:val>
            <c:numRef>
              <c:f>Zbiorczy!$R$6:$S$6</c:f>
              <c:numCache>
                <c:formatCode>0%</c:formatCode>
                <c:ptCount val="2"/>
                <c:pt idx="0">
                  <c:v>0.67567567567567932</c:v>
                </c:pt>
                <c:pt idx="1">
                  <c:v>0.32432432432432567</c:v>
                </c:pt>
              </c:numCache>
            </c:numRef>
          </c:val>
        </c:ser>
        <c:ser>
          <c:idx val="6"/>
          <c:order val="8"/>
          <c:tx>
            <c:v>Wiek: 30-39</c:v>
          </c:tx>
          <c:val>
            <c:numRef>
              <c:f>Zbiorczy!$U$6:$V$6</c:f>
              <c:numCache>
                <c:formatCode>0%</c:formatCode>
                <c:ptCount val="2"/>
                <c:pt idx="0">
                  <c:v>0.47967479674796842</c:v>
                </c:pt>
                <c:pt idx="1">
                  <c:v>0.52032520325203269</c:v>
                </c:pt>
              </c:numCache>
            </c:numRef>
          </c:val>
        </c:ser>
        <c:ser>
          <c:idx val="7"/>
          <c:order val="9"/>
          <c:tx>
            <c:v>Wiek: 40-59</c:v>
          </c:tx>
          <c:val>
            <c:numRef>
              <c:f>Zbiorczy!$X$6:$Y$6</c:f>
              <c:numCache>
                <c:formatCode>0%</c:formatCode>
                <c:ptCount val="2"/>
                <c:pt idx="0">
                  <c:v>0.47596153846153771</c:v>
                </c:pt>
                <c:pt idx="1">
                  <c:v>0.52403846153846168</c:v>
                </c:pt>
              </c:numCache>
            </c:numRef>
          </c:val>
        </c:ser>
        <c:ser>
          <c:idx val="8"/>
          <c:order val="10"/>
          <c:tx>
            <c:v>Wiek: 60 i powyżej</c:v>
          </c:tx>
          <c:val>
            <c:numRef>
              <c:f>Zbiorczy!$AA$6:$AB$6</c:f>
              <c:numCache>
                <c:formatCode>0%</c:formatCode>
                <c:ptCount val="2"/>
                <c:pt idx="0">
                  <c:v>0.41111111111111109</c:v>
                </c:pt>
                <c:pt idx="1">
                  <c:v>0.58888888888888891</c:v>
                </c:pt>
              </c:numCache>
            </c:numRef>
          </c:val>
        </c:ser>
        <c:gapWidth val="136"/>
        <c:overlap val="-15"/>
        <c:axId val="110663552"/>
        <c:axId val="110665088"/>
      </c:barChart>
      <c:catAx>
        <c:axId val="110663552"/>
        <c:scaling>
          <c:orientation val="minMax"/>
        </c:scaling>
        <c:axPos val="b"/>
        <c:majorGridlines/>
        <c:tickLblPos val="nextTo"/>
        <c:crossAx val="110665088"/>
        <c:crosses val="autoZero"/>
        <c:auto val="1"/>
        <c:lblAlgn val="ctr"/>
        <c:lblOffset val="100"/>
      </c:catAx>
      <c:valAx>
        <c:axId val="110665088"/>
        <c:scaling>
          <c:orientation val="minMax"/>
        </c:scaling>
        <c:axPos val="l"/>
        <c:numFmt formatCode="0%" sourceLinked="1"/>
        <c:tickLblPos val="nextTo"/>
        <c:txPr>
          <a:bodyPr/>
          <a:lstStyle/>
          <a:p>
            <a:pPr>
              <a:defRPr sz="800"/>
            </a:pPr>
            <a:endParaRPr lang="pl-PL"/>
          </a:p>
        </c:txPr>
        <c:crossAx val="110663552"/>
        <c:crosses val="autoZero"/>
        <c:crossBetween val="between"/>
      </c:valAx>
      <c:spPr>
        <a:solidFill>
          <a:schemeClr val="bg1">
            <a:lumMod val="95000"/>
          </a:scheme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1.6594183475029316E-2"/>
          <c:y val="0.75711310741246407"/>
          <c:w val="0.9814072796945299"/>
          <c:h val="0.22264645101653771"/>
        </c:manualLayout>
      </c:layout>
      <c:txPr>
        <a:bodyPr/>
        <a:lstStyle/>
        <a:p>
          <a:pPr>
            <a:defRPr sz="900"/>
          </a:pPr>
          <a:endParaRPr lang="pl-PL"/>
        </a:p>
      </c:txPr>
    </c:legend>
    <c:plotVisOnly val="1"/>
  </c:chart>
  <c:spPr>
    <a:solidFill>
      <a:schemeClr val="bg1">
        <a:lumMod val="95000"/>
      </a:schemeClr>
    </a:solidFill>
    <a:ln>
      <a:no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6.2347310617307791E-2"/>
          <c:y val="3.8843711409575599E-2"/>
          <c:w val="0.90858435549344696"/>
          <c:h val="0.65222338192620444"/>
        </c:manualLayout>
      </c:layout>
      <c:barChart>
        <c:barDir val="col"/>
        <c:grouping val="clustered"/>
        <c:ser>
          <c:idx val="0"/>
          <c:order val="0"/>
          <c:tx>
            <c:v>Mężczyźni</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Zbiorczy!$E$6</c:f>
              <c:numCache>
                <c:formatCode>General</c:formatCode>
                <c:ptCount val="1"/>
                <c:pt idx="0">
                  <c:v>3.1020408163265305</c:v>
                </c:pt>
              </c:numCache>
            </c:numRef>
          </c:val>
        </c:ser>
        <c:ser>
          <c:idx val="1"/>
          <c:order val="1"/>
          <c:tx>
            <c:v>Kobiety</c:v>
          </c:tx>
          <c:dLbls>
            <c:txPr>
              <a:bodyPr rot="-5400000" vert="horz"/>
              <a:lstStyle/>
              <a:p>
                <a:pPr>
                  <a:defRPr sz="1100">
                    <a:solidFill>
                      <a:schemeClr val="bg1"/>
                    </a:solidFill>
                  </a:defRPr>
                </a:pPr>
                <a:endParaRPr lang="pl-PL"/>
              </a:p>
            </c:txPr>
            <c:dLblPos val="ctr"/>
            <c:showSerName val="1"/>
          </c:dLbls>
          <c:val>
            <c:numRef>
              <c:f>Zbiorczy!$H$6</c:f>
              <c:numCache>
                <c:formatCode>General</c:formatCode>
                <c:ptCount val="1"/>
                <c:pt idx="0">
                  <c:v>3.1287128712871346</c:v>
                </c:pt>
              </c:numCache>
            </c:numRef>
          </c:val>
        </c:ser>
        <c:ser>
          <c:idx val="9"/>
          <c:order val="2"/>
          <c:val>
            <c:numLit>
              <c:formatCode>General</c:formatCode>
              <c:ptCount val="1"/>
              <c:pt idx="0">
                <c:v>0</c:v>
              </c:pt>
            </c:numLit>
          </c:val>
        </c:ser>
        <c:ser>
          <c:idx val="2"/>
          <c:order val="3"/>
          <c:tx>
            <c:v>Wykształcenie wyższe</c:v>
          </c:tx>
          <c:val>
            <c:numRef>
              <c:f>Zbiorczy!$K$6</c:f>
              <c:numCache>
                <c:formatCode>General</c:formatCode>
                <c:ptCount val="1"/>
                <c:pt idx="0">
                  <c:v>3.4230769230769229</c:v>
                </c:pt>
              </c:numCache>
            </c:numRef>
          </c:val>
        </c:ser>
        <c:ser>
          <c:idx val="3"/>
          <c:order val="4"/>
          <c:tx>
            <c:v>Wykształcenie średnie i policealne</c:v>
          </c:tx>
          <c:val>
            <c:numRef>
              <c:f>Zbiorczy!$N$6</c:f>
              <c:numCache>
                <c:formatCode>General</c:formatCode>
                <c:ptCount val="1"/>
                <c:pt idx="0">
                  <c:v>3.424242424242419</c:v>
                </c:pt>
              </c:numCache>
            </c:numRef>
          </c:val>
        </c:ser>
        <c:ser>
          <c:idx val="4"/>
          <c:order val="5"/>
          <c:tx>
            <c:v>Wykształcenie zasadnicze zawodowe i poniżej</c:v>
          </c:tx>
          <c:val>
            <c:numRef>
              <c:f>Zbiorczy!$Q$6</c:f>
              <c:numCache>
                <c:formatCode>General</c:formatCode>
                <c:ptCount val="1"/>
                <c:pt idx="0">
                  <c:v>2.8396226415094339</c:v>
                </c:pt>
              </c:numCache>
            </c:numRef>
          </c:val>
        </c:ser>
        <c:ser>
          <c:idx val="10"/>
          <c:order val="6"/>
          <c:val>
            <c:numLit>
              <c:formatCode>General</c:formatCode>
              <c:ptCount val="1"/>
              <c:pt idx="0">
                <c:v>0</c:v>
              </c:pt>
            </c:numLit>
          </c:val>
        </c:ser>
        <c:ser>
          <c:idx val="5"/>
          <c:order val="7"/>
          <c:tx>
            <c:v>Wiek: 18-29</c:v>
          </c:tx>
          <c:val>
            <c:numRef>
              <c:f>Zbiorczy!$T$6</c:f>
              <c:numCache>
                <c:formatCode>General</c:formatCode>
                <c:ptCount val="1"/>
                <c:pt idx="0">
                  <c:v>3.2800000000000002</c:v>
                </c:pt>
              </c:numCache>
            </c:numRef>
          </c:val>
        </c:ser>
        <c:ser>
          <c:idx val="6"/>
          <c:order val="8"/>
          <c:tx>
            <c:v>Wiek: 30-39</c:v>
          </c:tx>
          <c:val>
            <c:numRef>
              <c:f>Zbiorczy!$W$6</c:f>
              <c:numCache>
                <c:formatCode>General</c:formatCode>
                <c:ptCount val="1"/>
                <c:pt idx="0">
                  <c:v>3.2820512820512819</c:v>
                </c:pt>
              </c:numCache>
            </c:numRef>
          </c:val>
        </c:ser>
        <c:ser>
          <c:idx val="7"/>
          <c:order val="9"/>
          <c:tx>
            <c:v>Wiek: 40-59</c:v>
          </c:tx>
          <c:val>
            <c:numRef>
              <c:f>Zbiorczy!$Z$6</c:f>
              <c:numCache>
                <c:formatCode>General</c:formatCode>
                <c:ptCount val="1"/>
                <c:pt idx="0">
                  <c:v>3.0133333333333332</c:v>
                </c:pt>
              </c:numCache>
            </c:numRef>
          </c:val>
        </c:ser>
        <c:ser>
          <c:idx val="8"/>
          <c:order val="10"/>
          <c:tx>
            <c:v>Wiek: 60 i powyżej</c:v>
          </c:tx>
          <c:val>
            <c:numRef>
              <c:f>Zbiorczy!$AC$6</c:f>
              <c:numCache>
                <c:formatCode>General</c:formatCode>
                <c:ptCount val="1"/>
                <c:pt idx="0">
                  <c:v>2.9142857142857137</c:v>
                </c:pt>
              </c:numCache>
            </c:numRef>
          </c:val>
        </c:ser>
        <c:axId val="111289472"/>
        <c:axId val="111291008"/>
      </c:barChart>
      <c:catAx>
        <c:axId val="111289472"/>
        <c:scaling>
          <c:orientation val="minMax"/>
        </c:scaling>
        <c:delete val="1"/>
        <c:axPos val="b"/>
        <c:tickLblPos val="none"/>
        <c:crossAx val="111291008"/>
        <c:crosses val="autoZero"/>
        <c:auto val="1"/>
        <c:lblAlgn val="ctr"/>
        <c:lblOffset val="100"/>
      </c:catAx>
      <c:valAx>
        <c:axId val="111291008"/>
        <c:scaling>
          <c:orientation val="minMax"/>
        </c:scaling>
        <c:axPos val="l"/>
        <c:numFmt formatCode="General" sourceLinked="1"/>
        <c:tickLblPos val="nextTo"/>
        <c:txPr>
          <a:bodyPr/>
          <a:lstStyle/>
          <a:p>
            <a:pPr>
              <a:defRPr sz="800"/>
            </a:pPr>
            <a:endParaRPr lang="pl-PL"/>
          </a:p>
        </c:txPr>
        <c:crossAx val="111289472"/>
        <c:crosses val="autoZero"/>
        <c:crossBetween val="between"/>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2.4160279681510185E-2"/>
          <c:y val="0.75711310741246407"/>
          <c:w val="0.97346585376982064"/>
          <c:h val="0.22264645101653771"/>
        </c:manualLayout>
      </c:layout>
      <c:txPr>
        <a:bodyPr/>
        <a:lstStyle/>
        <a:p>
          <a:pPr>
            <a:defRPr sz="900"/>
          </a:pPr>
          <a:endParaRPr lang="pl-PL"/>
        </a:p>
      </c:txPr>
    </c:legend>
    <c:plotVisOnly val="1"/>
  </c:chart>
  <c:spPr>
    <a:solidFill>
      <a:schemeClr val="bg1">
        <a:lumMod val="95000"/>
      </a:schemeClr>
    </a:solidFill>
    <a:ln>
      <a:noFill/>
    </a:ln>
  </c:sp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9.8893925966678189E-2"/>
          <c:y val="2.4476312903642352E-2"/>
          <c:w val="0.87203774014407665"/>
          <c:h val="0.59806617855373889"/>
        </c:manualLayout>
      </c:layout>
      <c:barChart>
        <c:barDir val="col"/>
        <c:grouping val="clustered"/>
        <c:ser>
          <c:idx val="0"/>
          <c:order val="0"/>
          <c:tx>
            <c:v>Mężczyźni</c:v>
          </c:tx>
          <c:dLbls>
            <c:txPr>
              <a:bodyPr rot="-5400000" vert="horz"/>
              <a:lstStyle/>
              <a:p>
                <a:pPr>
                  <a:defRPr/>
                </a:pPr>
                <a:endParaRPr lang="pl-PL"/>
              </a:p>
            </c:txPr>
            <c:showSerName val="1"/>
          </c:dLbls>
          <c:cat>
            <c:strRef>
              <c:f>Zbiorczy!$C$20:$D$20</c:f>
              <c:strCache>
                <c:ptCount val="2"/>
                <c:pt idx="0">
                  <c:v>NIE</c:v>
                </c:pt>
                <c:pt idx="1">
                  <c:v>TAK</c:v>
                </c:pt>
              </c:strCache>
            </c:strRef>
          </c:cat>
          <c:val>
            <c:numRef>
              <c:f>Zbiorczy!$C$7:$D$7</c:f>
              <c:numCache>
                <c:formatCode>0%</c:formatCode>
                <c:ptCount val="2"/>
                <c:pt idx="0">
                  <c:v>0.35693215339233036</c:v>
                </c:pt>
                <c:pt idx="1">
                  <c:v>0.64306784660766969</c:v>
                </c:pt>
              </c:numCache>
            </c:numRef>
          </c:val>
        </c:ser>
        <c:ser>
          <c:idx val="1"/>
          <c:order val="1"/>
          <c:tx>
            <c:v>Kobiety</c:v>
          </c:tx>
          <c:dLbls>
            <c:txPr>
              <a:bodyPr rot="-5400000" vert="horz"/>
              <a:lstStyle/>
              <a:p>
                <a:pPr>
                  <a:defRPr/>
                </a:pPr>
                <a:endParaRPr lang="pl-PL"/>
              </a:p>
            </c:txPr>
            <c:showSerName val="1"/>
          </c:dLbls>
          <c:val>
            <c:numRef>
              <c:f>Zbiorczy!$F$7:$G$7</c:f>
              <c:numCache>
                <c:formatCode>0%</c:formatCode>
                <c:ptCount val="2"/>
                <c:pt idx="0">
                  <c:v>0.37425149700598831</c:v>
                </c:pt>
                <c:pt idx="1">
                  <c:v>0.62574850299401408</c:v>
                </c:pt>
              </c:numCache>
            </c:numRef>
          </c:val>
        </c:ser>
        <c:ser>
          <c:idx val="9"/>
          <c:order val="2"/>
          <c:val>
            <c:numLit>
              <c:formatCode>General</c:formatCode>
              <c:ptCount val="1"/>
              <c:pt idx="0">
                <c:v>0</c:v>
              </c:pt>
            </c:numLit>
          </c:val>
        </c:ser>
        <c:ser>
          <c:idx val="2"/>
          <c:order val="3"/>
          <c:tx>
            <c:v>Wykształcenie wyższe</c:v>
          </c:tx>
          <c:val>
            <c:numRef>
              <c:f>Zbiorczy!$I$7:$J$7</c:f>
              <c:numCache>
                <c:formatCode>0%</c:formatCode>
                <c:ptCount val="2"/>
                <c:pt idx="0">
                  <c:v>0.46739130434782672</c:v>
                </c:pt>
                <c:pt idx="1">
                  <c:v>0.53260869565217583</c:v>
                </c:pt>
              </c:numCache>
            </c:numRef>
          </c:val>
        </c:ser>
        <c:ser>
          <c:idx val="3"/>
          <c:order val="4"/>
          <c:tx>
            <c:v>Wykształcenie średnie i policealne</c:v>
          </c:tx>
          <c:val>
            <c:numRef>
              <c:f>Zbiorczy!$L$7:$M$7</c:f>
              <c:numCache>
                <c:formatCode>0%</c:formatCode>
                <c:ptCount val="2"/>
                <c:pt idx="0">
                  <c:v>0.37444933920704954</c:v>
                </c:pt>
                <c:pt idx="1">
                  <c:v>0.62555066079295008</c:v>
                </c:pt>
              </c:numCache>
            </c:numRef>
          </c:val>
        </c:ser>
        <c:ser>
          <c:idx val="4"/>
          <c:order val="5"/>
          <c:tx>
            <c:v>Wykształcenie zasadnicze zawodowe i poniżej</c:v>
          </c:tx>
          <c:val>
            <c:numRef>
              <c:f>Zbiorczy!$O$7:$P$7</c:f>
              <c:numCache>
                <c:formatCode>0%</c:formatCode>
                <c:ptCount val="2"/>
                <c:pt idx="0">
                  <c:v>0.33714285714285852</c:v>
                </c:pt>
                <c:pt idx="1">
                  <c:v>0.66285714285714281</c:v>
                </c:pt>
              </c:numCache>
            </c:numRef>
          </c:val>
        </c:ser>
        <c:ser>
          <c:idx val="10"/>
          <c:order val="6"/>
          <c:val>
            <c:numLit>
              <c:formatCode>General</c:formatCode>
              <c:ptCount val="1"/>
              <c:pt idx="0">
                <c:v>0</c:v>
              </c:pt>
            </c:numLit>
          </c:val>
        </c:ser>
        <c:ser>
          <c:idx val="5"/>
          <c:order val="7"/>
          <c:tx>
            <c:v>Wiek: 18-29</c:v>
          </c:tx>
          <c:val>
            <c:numRef>
              <c:f>Zbiorczy!$R$7:$S$7</c:f>
              <c:numCache>
                <c:formatCode>0%</c:formatCode>
                <c:ptCount val="2"/>
                <c:pt idx="0">
                  <c:v>0.5319148936170216</c:v>
                </c:pt>
                <c:pt idx="1">
                  <c:v>0.46808510638297945</c:v>
                </c:pt>
              </c:numCache>
            </c:numRef>
          </c:val>
        </c:ser>
        <c:ser>
          <c:idx val="6"/>
          <c:order val="8"/>
          <c:tx>
            <c:v>Wiek: 30-39</c:v>
          </c:tx>
          <c:val>
            <c:numRef>
              <c:f>Zbiorczy!$U$7:$V$7</c:f>
              <c:numCache>
                <c:formatCode>0%</c:formatCode>
                <c:ptCount val="2"/>
                <c:pt idx="0">
                  <c:v>0.15555555555555556</c:v>
                </c:pt>
                <c:pt idx="1">
                  <c:v>0.84444444444444566</c:v>
                </c:pt>
              </c:numCache>
            </c:numRef>
          </c:val>
        </c:ser>
        <c:ser>
          <c:idx val="7"/>
          <c:order val="9"/>
          <c:tx>
            <c:v>Wiek: 40-59</c:v>
          </c:tx>
          <c:val>
            <c:numRef>
              <c:f>Zbiorczy!$X$7:$Y$7</c:f>
              <c:numCache>
                <c:formatCode>0%</c:formatCode>
                <c:ptCount val="2"/>
                <c:pt idx="0">
                  <c:v>0.38645418326693337</c:v>
                </c:pt>
                <c:pt idx="1">
                  <c:v>0.61354581673306963</c:v>
                </c:pt>
              </c:numCache>
            </c:numRef>
          </c:val>
        </c:ser>
        <c:ser>
          <c:idx val="8"/>
          <c:order val="10"/>
          <c:tx>
            <c:v>Wiek: 60 i powyżej</c:v>
          </c:tx>
          <c:val>
            <c:numRef>
              <c:f>Zbiorczy!$AA$7:$AB$7</c:f>
              <c:numCache>
                <c:formatCode>0%</c:formatCode>
                <c:ptCount val="2"/>
                <c:pt idx="0">
                  <c:v>0.28282828282828387</c:v>
                </c:pt>
                <c:pt idx="1">
                  <c:v>0.71717171717171846</c:v>
                </c:pt>
              </c:numCache>
            </c:numRef>
          </c:val>
        </c:ser>
        <c:gapWidth val="136"/>
        <c:overlap val="-15"/>
        <c:axId val="111546752"/>
        <c:axId val="111548288"/>
      </c:barChart>
      <c:catAx>
        <c:axId val="111546752"/>
        <c:scaling>
          <c:orientation val="minMax"/>
        </c:scaling>
        <c:axPos val="b"/>
        <c:majorGridlines/>
        <c:tickLblPos val="nextTo"/>
        <c:crossAx val="111548288"/>
        <c:crosses val="autoZero"/>
        <c:auto val="1"/>
        <c:lblAlgn val="ctr"/>
        <c:lblOffset val="100"/>
      </c:catAx>
      <c:valAx>
        <c:axId val="111548288"/>
        <c:scaling>
          <c:orientation val="minMax"/>
        </c:scaling>
        <c:axPos val="l"/>
        <c:numFmt formatCode="0%" sourceLinked="1"/>
        <c:tickLblPos val="nextTo"/>
        <c:txPr>
          <a:bodyPr/>
          <a:lstStyle/>
          <a:p>
            <a:pPr>
              <a:defRPr sz="800"/>
            </a:pPr>
            <a:endParaRPr lang="pl-PL"/>
          </a:p>
        </c:txPr>
        <c:crossAx val="111546752"/>
        <c:crosses val="autoZero"/>
        <c:crossBetween val="between"/>
        <c:majorUnit val="0.2"/>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2.1687016234362765E-2"/>
          <c:y val="0.75711310741246407"/>
          <c:w val="0.97738683377178592"/>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6.2347310617307791E-2"/>
          <c:y val="5.0340564549432129E-2"/>
          <c:w val="0.90858435549344696"/>
          <c:h val="0.66305766499056973"/>
        </c:manualLayout>
      </c:layout>
      <c:barChart>
        <c:barDir val="col"/>
        <c:grouping val="clustered"/>
        <c:ser>
          <c:idx val="0"/>
          <c:order val="0"/>
          <c:tx>
            <c:v>Mężczyźni</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Zbiorczy!$E$7</c:f>
              <c:numCache>
                <c:formatCode>General</c:formatCode>
                <c:ptCount val="1"/>
                <c:pt idx="0">
                  <c:v>3.6224489795918307</c:v>
                </c:pt>
              </c:numCache>
            </c:numRef>
          </c:val>
        </c:ser>
        <c:ser>
          <c:idx val="1"/>
          <c:order val="1"/>
          <c:tx>
            <c:v>Kobiety</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Zbiorczy!$H$7</c:f>
              <c:numCache>
                <c:formatCode>General</c:formatCode>
                <c:ptCount val="1"/>
                <c:pt idx="0">
                  <c:v>3.4257425742574257</c:v>
                </c:pt>
              </c:numCache>
            </c:numRef>
          </c:val>
        </c:ser>
        <c:ser>
          <c:idx val="9"/>
          <c:order val="2"/>
          <c:val>
            <c:numLit>
              <c:formatCode>General</c:formatCode>
              <c:ptCount val="1"/>
              <c:pt idx="0">
                <c:v>0</c:v>
              </c:pt>
            </c:numLit>
          </c:val>
        </c:ser>
        <c:ser>
          <c:idx val="2"/>
          <c:order val="3"/>
          <c:tx>
            <c:v>Wykształcenie wyższe</c:v>
          </c:tx>
          <c:val>
            <c:numRef>
              <c:f>Zbiorczy!$K$7</c:f>
              <c:numCache>
                <c:formatCode>General</c:formatCode>
                <c:ptCount val="1"/>
                <c:pt idx="0">
                  <c:v>3.7307692307692308</c:v>
                </c:pt>
              </c:numCache>
            </c:numRef>
          </c:val>
        </c:ser>
        <c:ser>
          <c:idx val="3"/>
          <c:order val="4"/>
          <c:tx>
            <c:v>Wykształcenie średnie i policealne</c:v>
          </c:tx>
          <c:val>
            <c:numRef>
              <c:f>Zbiorczy!$N$7</c:f>
              <c:numCache>
                <c:formatCode>General</c:formatCode>
                <c:ptCount val="1"/>
                <c:pt idx="0">
                  <c:v>3.5909090909090908</c:v>
                </c:pt>
              </c:numCache>
            </c:numRef>
          </c:val>
        </c:ser>
        <c:ser>
          <c:idx val="4"/>
          <c:order val="5"/>
          <c:tx>
            <c:v>Wykształcenie zasadnicze zawodowe i poniżej</c:v>
          </c:tx>
          <c:val>
            <c:numRef>
              <c:f>Zbiorczy!$Q$7</c:f>
              <c:numCache>
                <c:formatCode>General</c:formatCode>
                <c:ptCount val="1"/>
                <c:pt idx="0">
                  <c:v>3.4245283018867942</c:v>
                </c:pt>
              </c:numCache>
            </c:numRef>
          </c:val>
        </c:ser>
        <c:ser>
          <c:idx val="10"/>
          <c:order val="6"/>
          <c:val>
            <c:numLit>
              <c:formatCode>General</c:formatCode>
              <c:ptCount val="1"/>
              <c:pt idx="0">
                <c:v>0</c:v>
              </c:pt>
            </c:numLit>
          </c:val>
        </c:ser>
        <c:ser>
          <c:idx val="5"/>
          <c:order val="7"/>
          <c:tx>
            <c:v>Wiek: 18-29</c:v>
          </c:tx>
          <c:val>
            <c:numRef>
              <c:f>Zbiorczy!$T$7</c:f>
              <c:numCache>
                <c:formatCode>General</c:formatCode>
                <c:ptCount val="1"/>
                <c:pt idx="0">
                  <c:v>3.82</c:v>
                </c:pt>
              </c:numCache>
            </c:numRef>
          </c:val>
        </c:ser>
        <c:ser>
          <c:idx val="6"/>
          <c:order val="8"/>
          <c:tx>
            <c:v>Wiek: 30-39</c:v>
          </c:tx>
          <c:val>
            <c:numRef>
              <c:f>Zbiorczy!$W$7</c:f>
              <c:numCache>
                <c:formatCode>General</c:formatCode>
                <c:ptCount val="1"/>
                <c:pt idx="0">
                  <c:v>3.5128205128205132</c:v>
                </c:pt>
              </c:numCache>
            </c:numRef>
          </c:val>
        </c:ser>
        <c:ser>
          <c:idx val="7"/>
          <c:order val="9"/>
          <c:tx>
            <c:v>Wiek: 40-59</c:v>
          </c:tx>
          <c:val>
            <c:numRef>
              <c:f>Zbiorczy!$Z$7</c:f>
              <c:numCache>
                <c:formatCode>General</c:formatCode>
                <c:ptCount val="1"/>
                <c:pt idx="0">
                  <c:v>3.56</c:v>
                </c:pt>
              </c:numCache>
            </c:numRef>
          </c:val>
        </c:ser>
        <c:ser>
          <c:idx val="8"/>
          <c:order val="10"/>
          <c:tx>
            <c:v>Wiek: 60 i powyżej</c:v>
          </c:tx>
          <c:val>
            <c:numRef>
              <c:f>Zbiorczy!$AC$7</c:f>
              <c:numCache>
                <c:formatCode>General</c:formatCode>
                <c:ptCount val="1"/>
                <c:pt idx="0">
                  <c:v>3.0285714285714356</c:v>
                </c:pt>
              </c:numCache>
            </c:numRef>
          </c:val>
        </c:ser>
        <c:axId val="111644032"/>
        <c:axId val="111682688"/>
      </c:barChart>
      <c:catAx>
        <c:axId val="111644032"/>
        <c:scaling>
          <c:orientation val="minMax"/>
        </c:scaling>
        <c:delete val="1"/>
        <c:axPos val="b"/>
        <c:tickLblPos val="none"/>
        <c:crossAx val="111682688"/>
        <c:crosses val="autoZero"/>
        <c:auto val="1"/>
        <c:lblAlgn val="ctr"/>
        <c:lblOffset val="100"/>
      </c:catAx>
      <c:valAx>
        <c:axId val="111682688"/>
        <c:scaling>
          <c:orientation val="minMax"/>
          <c:max val="4"/>
        </c:scaling>
        <c:axPos val="l"/>
        <c:numFmt formatCode="General" sourceLinked="1"/>
        <c:tickLblPos val="nextTo"/>
        <c:txPr>
          <a:bodyPr/>
          <a:lstStyle/>
          <a:p>
            <a:pPr>
              <a:defRPr sz="800"/>
            </a:pPr>
            <a:endParaRPr lang="pl-PL"/>
          </a:p>
        </c:txPr>
        <c:crossAx val="111644032"/>
        <c:crosses val="autoZero"/>
        <c:crossBetween val="between"/>
        <c:majorUnit val="0.5"/>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5.831561385683524E-3"/>
          <c:y val="0.75711310741246407"/>
          <c:w val="0.97959140784162524"/>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9.6129154918752305E-2"/>
          <c:y val="4.8662563266557289E-2"/>
          <c:w val="0.87561517270951073"/>
          <c:h val="0.57926041263902972"/>
        </c:manualLayout>
      </c:layout>
      <c:barChart>
        <c:barDir val="col"/>
        <c:grouping val="clustered"/>
        <c:ser>
          <c:idx val="0"/>
          <c:order val="0"/>
          <c:tx>
            <c:v>Mężczyźni</c:v>
          </c:tx>
          <c:dLbls>
            <c:txPr>
              <a:bodyPr rot="-5400000" vert="horz"/>
              <a:lstStyle/>
              <a:p>
                <a:pPr>
                  <a:defRPr/>
                </a:pPr>
                <a:endParaRPr lang="pl-PL"/>
              </a:p>
            </c:txPr>
            <c:showSerName val="1"/>
          </c:dLbls>
          <c:cat>
            <c:strRef>
              <c:f>Zbiorczy!$C$20:$D$20</c:f>
              <c:strCache>
                <c:ptCount val="2"/>
                <c:pt idx="0">
                  <c:v>NIE</c:v>
                </c:pt>
                <c:pt idx="1">
                  <c:v>TAK</c:v>
                </c:pt>
              </c:strCache>
            </c:strRef>
          </c:cat>
          <c:val>
            <c:numRef>
              <c:f>Zbiorczy!$C$8:$D$8</c:f>
              <c:numCache>
                <c:formatCode>0%</c:formatCode>
                <c:ptCount val="2"/>
                <c:pt idx="0">
                  <c:v>0.16709511568123428</c:v>
                </c:pt>
                <c:pt idx="1">
                  <c:v>0.83290488431876664</c:v>
                </c:pt>
              </c:numCache>
            </c:numRef>
          </c:val>
        </c:ser>
        <c:ser>
          <c:idx val="1"/>
          <c:order val="1"/>
          <c:tx>
            <c:v>Kobiety</c:v>
          </c:tx>
          <c:dLbls>
            <c:txPr>
              <a:bodyPr rot="-5400000" vert="horz"/>
              <a:lstStyle/>
              <a:p>
                <a:pPr>
                  <a:defRPr/>
                </a:pPr>
                <a:endParaRPr lang="pl-PL"/>
              </a:p>
            </c:txPr>
            <c:showSerName val="1"/>
          </c:dLbls>
          <c:val>
            <c:numRef>
              <c:f>Zbiorczy!$F$8:$G$8</c:f>
              <c:numCache>
                <c:formatCode>0%</c:formatCode>
                <c:ptCount val="2"/>
                <c:pt idx="0">
                  <c:v>0.12213740458015269</c:v>
                </c:pt>
                <c:pt idx="1">
                  <c:v>0.87786259541984735</c:v>
                </c:pt>
              </c:numCache>
            </c:numRef>
          </c:val>
        </c:ser>
        <c:ser>
          <c:idx val="9"/>
          <c:order val="2"/>
          <c:val>
            <c:numLit>
              <c:formatCode>General</c:formatCode>
              <c:ptCount val="1"/>
              <c:pt idx="0">
                <c:v>0</c:v>
              </c:pt>
            </c:numLit>
          </c:val>
        </c:ser>
        <c:ser>
          <c:idx val="2"/>
          <c:order val="3"/>
          <c:tx>
            <c:v>Wykształcenie wyższe</c:v>
          </c:tx>
          <c:val>
            <c:numRef>
              <c:f>Zbiorczy!$I$8:$J$8</c:f>
              <c:numCache>
                <c:formatCode>0%</c:formatCode>
                <c:ptCount val="2"/>
                <c:pt idx="0">
                  <c:v>0.39423076923077038</c:v>
                </c:pt>
                <c:pt idx="1">
                  <c:v>0.60576923076923073</c:v>
                </c:pt>
              </c:numCache>
            </c:numRef>
          </c:val>
        </c:ser>
        <c:ser>
          <c:idx val="3"/>
          <c:order val="4"/>
          <c:tx>
            <c:v>Wykształcenie średnie i policealne</c:v>
          </c:tx>
          <c:val>
            <c:numRef>
              <c:f>Zbiorczy!$L$8:$M$8</c:f>
              <c:numCache>
                <c:formatCode>0%</c:formatCode>
                <c:ptCount val="2"/>
                <c:pt idx="0">
                  <c:v>9.5588235294117641E-2</c:v>
                </c:pt>
                <c:pt idx="1">
                  <c:v>0.90441176470588236</c:v>
                </c:pt>
              </c:numCache>
            </c:numRef>
          </c:val>
        </c:ser>
        <c:ser>
          <c:idx val="4"/>
          <c:order val="5"/>
          <c:tx>
            <c:v>Wykształcenie zasadnicze zawodowe i poniżej</c:v>
          </c:tx>
          <c:val>
            <c:numRef>
              <c:f>Zbiorczy!$O$8:$P$8</c:f>
              <c:numCache>
                <c:formatCode>0%</c:formatCode>
                <c:ptCount val="2"/>
                <c:pt idx="0">
                  <c:v>0.11442786069651741</c:v>
                </c:pt>
                <c:pt idx="1">
                  <c:v>0.88557213930348255</c:v>
                </c:pt>
              </c:numCache>
            </c:numRef>
          </c:val>
        </c:ser>
        <c:ser>
          <c:idx val="10"/>
          <c:order val="6"/>
          <c:val>
            <c:numLit>
              <c:formatCode>General</c:formatCode>
              <c:ptCount val="1"/>
              <c:pt idx="0">
                <c:v>0</c:v>
              </c:pt>
            </c:numLit>
          </c:val>
        </c:ser>
        <c:ser>
          <c:idx val="5"/>
          <c:order val="7"/>
          <c:tx>
            <c:v>Wiek: 18-29</c:v>
          </c:tx>
          <c:val>
            <c:numRef>
              <c:f>Zbiorczy!$R$8:$S$8</c:f>
              <c:numCache>
                <c:formatCode>0%</c:formatCode>
                <c:ptCount val="2"/>
                <c:pt idx="0">
                  <c:v>0.13432835820895517</c:v>
                </c:pt>
                <c:pt idx="1">
                  <c:v>0.86567164179104472</c:v>
                </c:pt>
              </c:numCache>
            </c:numRef>
          </c:val>
        </c:ser>
        <c:ser>
          <c:idx val="6"/>
          <c:order val="8"/>
          <c:tx>
            <c:v>Wiek: 30-39</c:v>
          </c:tx>
          <c:val>
            <c:numRef>
              <c:f>Zbiorczy!$U$8:$V$8</c:f>
              <c:numCache>
                <c:formatCode>0%</c:formatCode>
                <c:ptCount val="2"/>
                <c:pt idx="0">
                  <c:v>0.16891891891891889</c:v>
                </c:pt>
                <c:pt idx="1">
                  <c:v>0.83108108108108103</c:v>
                </c:pt>
              </c:numCache>
            </c:numRef>
          </c:val>
        </c:ser>
        <c:ser>
          <c:idx val="7"/>
          <c:order val="9"/>
          <c:tx>
            <c:v>Wiek: 40-59</c:v>
          </c:tx>
          <c:val>
            <c:numRef>
              <c:f>Zbiorczy!$X$8:$Y$8</c:f>
              <c:numCache>
                <c:formatCode>0%</c:formatCode>
                <c:ptCount val="2"/>
                <c:pt idx="0">
                  <c:v>0.17905405405405406</c:v>
                </c:pt>
                <c:pt idx="1">
                  <c:v>0.8209459459459455</c:v>
                </c:pt>
              </c:numCache>
            </c:numRef>
          </c:val>
        </c:ser>
        <c:ser>
          <c:idx val="8"/>
          <c:order val="10"/>
          <c:tx>
            <c:v>Wiek: 60 i powyżej</c:v>
          </c:tx>
          <c:val>
            <c:numRef>
              <c:f>Zbiorczy!$AA$8:$AB$8</c:f>
              <c:numCache>
                <c:formatCode>0%</c:formatCode>
                <c:ptCount val="2"/>
                <c:pt idx="0">
                  <c:v>5.8394160583941722E-2</c:v>
                </c:pt>
                <c:pt idx="1">
                  <c:v>0.9416058394160598</c:v>
                </c:pt>
              </c:numCache>
            </c:numRef>
          </c:val>
        </c:ser>
        <c:gapWidth val="136"/>
        <c:overlap val="-15"/>
        <c:axId val="111737472"/>
        <c:axId val="111792512"/>
      </c:barChart>
      <c:catAx>
        <c:axId val="111737472"/>
        <c:scaling>
          <c:orientation val="minMax"/>
        </c:scaling>
        <c:axPos val="b"/>
        <c:majorGridlines/>
        <c:tickLblPos val="nextTo"/>
        <c:crossAx val="111792512"/>
        <c:crosses val="autoZero"/>
        <c:auto val="1"/>
        <c:lblAlgn val="ctr"/>
        <c:lblOffset val="100"/>
      </c:catAx>
      <c:valAx>
        <c:axId val="111792512"/>
        <c:scaling>
          <c:orientation val="minMax"/>
        </c:scaling>
        <c:axPos val="l"/>
        <c:numFmt formatCode="0%" sourceLinked="1"/>
        <c:tickLblPos val="nextTo"/>
        <c:txPr>
          <a:bodyPr/>
          <a:lstStyle/>
          <a:p>
            <a:pPr>
              <a:defRPr sz="800"/>
            </a:pPr>
            <a:endParaRPr lang="pl-PL"/>
          </a:p>
        </c:txPr>
        <c:crossAx val="111737472"/>
        <c:crosses val="autoZero"/>
        <c:crossBetween val="between"/>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2.1556428418289128E-2"/>
          <c:y val="0.75711310741246407"/>
          <c:w val="0.95805923780475488"/>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6.2347310617307791E-2"/>
          <c:y val="3.4837962327975328E-2"/>
          <c:w val="0.90858435549344696"/>
          <c:h val="0.66343628493299256"/>
        </c:manualLayout>
      </c:layout>
      <c:barChart>
        <c:barDir val="col"/>
        <c:grouping val="clustered"/>
        <c:ser>
          <c:idx val="0"/>
          <c:order val="0"/>
          <c:tx>
            <c:v>Mężczyźni</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Zbiorczy!$E$8</c:f>
              <c:numCache>
                <c:formatCode>General</c:formatCode>
                <c:ptCount val="1"/>
                <c:pt idx="0">
                  <c:v>4.0102040816326534</c:v>
                </c:pt>
              </c:numCache>
            </c:numRef>
          </c:val>
        </c:ser>
        <c:ser>
          <c:idx val="1"/>
          <c:order val="1"/>
          <c:tx>
            <c:v>Kobiety</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Zbiorczy!$H$8</c:f>
              <c:numCache>
                <c:formatCode>General</c:formatCode>
                <c:ptCount val="1"/>
                <c:pt idx="0">
                  <c:v>3.9306930693069306</c:v>
                </c:pt>
              </c:numCache>
            </c:numRef>
          </c:val>
        </c:ser>
        <c:ser>
          <c:idx val="9"/>
          <c:order val="2"/>
          <c:val>
            <c:numLit>
              <c:formatCode>General</c:formatCode>
              <c:ptCount val="1"/>
              <c:pt idx="0">
                <c:v>0</c:v>
              </c:pt>
            </c:numLit>
          </c:val>
        </c:ser>
        <c:ser>
          <c:idx val="2"/>
          <c:order val="3"/>
          <c:tx>
            <c:v>Wykształcenie wyższe</c:v>
          </c:tx>
          <c:val>
            <c:numRef>
              <c:f>Zbiorczy!$K$8</c:f>
              <c:numCache>
                <c:formatCode>General</c:formatCode>
                <c:ptCount val="1"/>
                <c:pt idx="0">
                  <c:v>4.0769230769230784</c:v>
                </c:pt>
              </c:numCache>
            </c:numRef>
          </c:val>
        </c:ser>
        <c:ser>
          <c:idx val="3"/>
          <c:order val="4"/>
          <c:tx>
            <c:v>Wykształcenie średnie i policealne</c:v>
          </c:tx>
          <c:val>
            <c:numRef>
              <c:f>Zbiorczy!$N$8</c:f>
              <c:numCache>
                <c:formatCode>General</c:formatCode>
                <c:ptCount val="1"/>
                <c:pt idx="0">
                  <c:v>4.1212121212121318</c:v>
                </c:pt>
              </c:numCache>
            </c:numRef>
          </c:val>
        </c:ser>
        <c:ser>
          <c:idx val="4"/>
          <c:order val="5"/>
          <c:tx>
            <c:v>Wykształcenie zasadnicze zawodowe i poniżej</c:v>
          </c:tx>
          <c:val>
            <c:numRef>
              <c:f>Zbiorczy!$Q$8</c:f>
              <c:numCache>
                <c:formatCode>General</c:formatCode>
                <c:ptCount val="1"/>
                <c:pt idx="0">
                  <c:v>3.8490566037735769</c:v>
                </c:pt>
              </c:numCache>
            </c:numRef>
          </c:val>
        </c:ser>
        <c:ser>
          <c:idx val="10"/>
          <c:order val="6"/>
          <c:val>
            <c:numLit>
              <c:formatCode>General</c:formatCode>
              <c:ptCount val="1"/>
              <c:pt idx="0">
                <c:v>0</c:v>
              </c:pt>
            </c:numLit>
          </c:val>
        </c:ser>
        <c:ser>
          <c:idx val="5"/>
          <c:order val="7"/>
          <c:tx>
            <c:v>Wiek: 18-29</c:v>
          </c:tx>
          <c:val>
            <c:numRef>
              <c:f>Zbiorczy!$T$8</c:f>
              <c:numCache>
                <c:formatCode>General</c:formatCode>
                <c:ptCount val="1"/>
                <c:pt idx="0">
                  <c:v>4.0999999999999996</c:v>
                </c:pt>
              </c:numCache>
            </c:numRef>
          </c:val>
        </c:ser>
        <c:ser>
          <c:idx val="6"/>
          <c:order val="8"/>
          <c:tx>
            <c:v>Wiek: 30-39</c:v>
          </c:tx>
          <c:val>
            <c:numRef>
              <c:f>Zbiorczy!$W$8</c:f>
              <c:numCache>
                <c:formatCode>General</c:formatCode>
                <c:ptCount val="1"/>
                <c:pt idx="0">
                  <c:v>3.7948717948717952</c:v>
                </c:pt>
              </c:numCache>
            </c:numRef>
          </c:val>
        </c:ser>
        <c:ser>
          <c:idx val="7"/>
          <c:order val="9"/>
          <c:tx>
            <c:v>Wiek: 40-59</c:v>
          </c:tx>
          <c:val>
            <c:numRef>
              <c:f>Zbiorczy!$Z$8</c:f>
              <c:numCache>
                <c:formatCode>General</c:formatCode>
                <c:ptCount val="1"/>
                <c:pt idx="0">
                  <c:v>3.9733333333333332</c:v>
                </c:pt>
              </c:numCache>
            </c:numRef>
          </c:val>
        </c:ser>
        <c:ser>
          <c:idx val="8"/>
          <c:order val="10"/>
          <c:tx>
            <c:v>Wiek: 60 i powyżej</c:v>
          </c:tx>
          <c:val>
            <c:numRef>
              <c:f>Zbiorczy!$AC$8</c:f>
              <c:numCache>
                <c:formatCode>General</c:formatCode>
                <c:ptCount val="1"/>
                <c:pt idx="0">
                  <c:v>3.9714285714285666</c:v>
                </c:pt>
              </c:numCache>
            </c:numRef>
          </c:val>
        </c:ser>
        <c:axId val="111921024"/>
        <c:axId val="111922560"/>
      </c:barChart>
      <c:catAx>
        <c:axId val="111921024"/>
        <c:scaling>
          <c:orientation val="minMax"/>
        </c:scaling>
        <c:delete val="1"/>
        <c:axPos val="b"/>
        <c:tickLblPos val="none"/>
        <c:crossAx val="111922560"/>
        <c:crosses val="autoZero"/>
        <c:auto val="1"/>
        <c:lblAlgn val="ctr"/>
        <c:lblOffset val="100"/>
      </c:catAx>
      <c:valAx>
        <c:axId val="111922560"/>
        <c:scaling>
          <c:orientation val="minMax"/>
          <c:max val="5"/>
        </c:scaling>
        <c:axPos val="l"/>
        <c:numFmt formatCode="General" sourceLinked="1"/>
        <c:tickLblPos val="nextTo"/>
        <c:txPr>
          <a:bodyPr/>
          <a:lstStyle/>
          <a:p>
            <a:pPr>
              <a:defRPr sz="800"/>
            </a:pPr>
            <a:endParaRPr lang="pl-PL"/>
          </a:p>
        </c:txPr>
        <c:crossAx val="111921024"/>
        <c:crosses val="autoZero"/>
        <c:crossBetween val="between"/>
        <c:majorUnit val="1"/>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2.1687016234362765E-2"/>
          <c:y val="0.75711310741246407"/>
          <c:w val="0.96417395473121981"/>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9.8026646470509043E-2"/>
          <c:y val="3.8375724785619084E-2"/>
          <c:w val="0.87316000360527823"/>
          <c:h val="0.58215219072130842"/>
        </c:manualLayout>
      </c:layout>
      <c:barChart>
        <c:barDir val="col"/>
        <c:grouping val="clustered"/>
        <c:ser>
          <c:idx val="0"/>
          <c:order val="0"/>
          <c:tx>
            <c:v>Mężczyźni</c:v>
          </c:tx>
          <c:dLbls>
            <c:txPr>
              <a:bodyPr rot="-5400000" vert="horz"/>
              <a:lstStyle/>
              <a:p>
                <a:pPr>
                  <a:defRPr/>
                </a:pPr>
                <a:endParaRPr lang="pl-PL"/>
              </a:p>
            </c:txPr>
            <c:showSerName val="1"/>
          </c:dLbls>
          <c:cat>
            <c:strRef>
              <c:f>Zbiorczy!$C$20:$D$20</c:f>
              <c:strCache>
                <c:ptCount val="2"/>
                <c:pt idx="0">
                  <c:v>NIE</c:v>
                </c:pt>
                <c:pt idx="1">
                  <c:v>TAK</c:v>
                </c:pt>
              </c:strCache>
            </c:strRef>
          </c:cat>
          <c:val>
            <c:numRef>
              <c:f>Zbiorczy!$C$9:$D$9</c:f>
              <c:numCache>
                <c:formatCode>0%</c:formatCode>
                <c:ptCount val="2"/>
                <c:pt idx="0">
                  <c:v>0.79142857142857304</c:v>
                </c:pt>
                <c:pt idx="1">
                  <c:v>0.20857142857142907</c:v>
                </c:pt>
              </c:numCache>
            </c:numRef>
          </c:val>
        </c:ser>
        <c:ser>
          <c:idx val="1"/>
          <c:order val="1"/>
          <c:tx>
            <c:v>Kobiety</c:v>
          </c:tx>
          <c:dLbls>
            <c:txPr>
              <a:bodyPr rot="-5400000" vert="horz"/>
              <a:lstStyle/>
              <a:p>
                <a:pPr>
                  <a:defRPr/>
                </a:pPr>
                <a:endParaRPr lang="pl-PL"/>
              </a:p>
            </c:txPr>
            <c:showSerName val="1"/>
          </c:dLbls>
          <c:val>
            <c:numRef>
              <c:f>Zbiorczy!$F$9:$G$9</c:f>
              <c:numCache>
                <c:formatCode>0%</c:formatCode>
                <c:ptCount val="2"/>
                <c:pt idx="0">
                  <c:v>0.81570996978851962</c:v>
                </c:pt>
                <c:pt idx="1">
                  <c:v>0.18429003021148088</c:v>
                </c:pt>
              </c:numCache>
            </c:numRef>
          </c:val>
        </c:ser>
        <c:ser>
          <c:idx val="9"/>
          <c:order val="2"/>
          <c:val>
            <c:numLit>
              <c:formatCode>General</c:formatCode>
              <c:ptCount val="1"/>
              <c:pt idx="0">
                <c:v>0</c:v>
              </c:pt>
            </c:numLit>
          </c:val>
        </c:ser>
        <c:ser>
          <c:idx val="2"/>
          <c:order val="3"/>
          <c:tx>
            <c:v>Wykształcenie wyższe</c:v>
          </c:tx>
          <c:val>
            <c:numRef>
              <c:f>Zbiorczy!$I$9:$J$9</c:f>
              <c:numCache>
                <c:formatCode>0%</c:formatCode>
                <c:ptCount val="2"/>
                <c:pt idx="0">
                  <c:v>0.86734693877551061</c:v>
                </c:pt>
                <c:pt idx="1">
                  <c:v>0.13265306122448967</c:v>
                </c:pt>
              </c:numCache>
            </c:numRef>
          </c:val>
        </c:ser>
        <c:ser>
          <c:idx val="3"/>
          <c:order val="4"/>
          <c:tx>
            <c:v>Wykształcenie średnie i policealne</c:v>
          </c:tx>
          <c:val>
            <c:numRef>
              <c:f>Zbiorczy!$L$9:$M$9</c:f>
              <c:numCache>
                <c:formatCode>0%</c:formatCode>
                <c:ptCount val="2"/>
                <c:pt idx="0">
                  <c:v>0.78600823045267565</c:v>
                </c:pt>
                <c:pt idx="1">
                  <c:v>0.21399176954732593</c:v>
                </c:pt>
              </c:numCache>
            </c:numRef>
          </c:val>
        </c:ser>
        <c:ser>
          <c:idx val="4"/>
          <c:order val="5"/>
          <c:tx>
            <c:v>Wykształcenie zasadnicze zawodowe i poniżej</c:v>
          </c:tx>
          <c:val>
            <c:numRef>
              <c:f>Zbiorczy!$O$9:$P$9</c:f>
              <c:numCache>
                <c:formatCode>0%</c:formatCode>
                <c:ptCount val="2"/>
                <c:pt idx="0">
                  <c:v>0.79585798816568043</c:v>
                </c:pt>
                <c:pt idx="1">
                  <c:v>0.20414201183431951</c:v>
                </c:pt>
              </c:numCache>
            </c:numRef>
          </c:val>
        </c:ser>
        <c:ser>
          <c:idx val="10"/>
          <c:order val="6"/>
          <c:val>
            <c:numLit>
              <c:formatCode>General</c:formatCode>
              <c:ptCount val="1"/>
              <c:pt idx="0">
                <c:v>0</c:v>
              </c:pt>
            </c:numLit>
          </c:val>
        </c:ser>
        <c:ser>
          <c:idx val="5"/>
          <c:order val="7"/>
          <c:tx>
            <c:v>Wiek: 18-29</c:v>
          </c:tx>
          <c:val>
            <c:numRef>
              <c:f>Zbiorczy!$R$9:$S$9</c:f>
              <c:numCache>
                <c:formatCode>0%</c:formatCode>
                <c:ptCount val="2"/>
                <c:pt idx="0">
                  <c:v>0.70879120879120883</c:v>
                </c:pt>
                <c:pt idx="1">
                  <c:v>0.29120879120879195</c:v>
                </c:pt>
              </c:numCache>
            </c:numRef>
          </c:val>
        </c:ser>
        <c:ser>
          <c:idx val="6"/>
          <c:order val="8"/>
          <c:tx>
            <c:v>Wiek: 30-39</c:v>
          </c:tx>
          <c:val>
            <c:numRef>
              <c:f>Zbiorczy!$U$9:$V$9</c:f>
              <c:numCache>
                <c:formatCode>0%</c:formatCode>
                <c:ptCount val="2"/>
                <c:pt idx="0">
                  <c:v>0.84210526315789613</c:v>
                </c:pt>
                <c:pt idx="1">
                  <c:v>0.15789473684210595</c:v>
                </c:pt>
              </c:numCache>
            </c:numRef>
          </c:val>
        </c:ser>
        <c:ser>
          <c:idx val="7"/>
          <c:order val="9"/>
          <c:tx>
            <c:v>Wiek: 40-59</c:v>
          </c:tx>
          <c:val>
            <c:numRef>
              <c:f>Zbiorczy!$X$9:$Y$9</c:f>
              <c:numCache>
                <c:formatCode>0%</c:formatCode>
                <c:ptCount val="2"/>
                <c:pt idx="0">
                  <c:v>0.84046692607003859</c:v>
                </c:pt>
                <c:pt idx="1">
                  <c:v>0.15953307392996124</c:v>
                </c:pt>
              </c:numCache>
            </c:numRef>
          </c:val>
        </c:ser>
        <c:ser>
          <c:idx val="8"/>
          <c:order val="10"/>
          <c:tx>
            <c:v>Wiek: 60 i powyżej</c:v>
          </c:tx>
          <c:val>
            <c:numRef>
              <c:f>Zbiorczy!$AA$9:$AB$9</c:f>
              <c:numCache>
                <c:formatCode>0%</c:formatCode>
                <c:ptCount val="2"/>
                <c:pt idx="0">
                  <c:v>0.82568807339449823</c:v>
                </c:pt>
                <c:pt idx="1">
                  <c:v>0.1743119266055046</c:v>
                </c:pt>
              </c:numCache>
            </c:numRef>
          </c:val>
        </c:ser>
        <c:gapWidth val="136"/>
        <c:overlap val="-15"/>
        <c:axId val="112137344"/>
        <c:axId val="112138880"/>
      </c:barChart>
      <c:catAx>
        <c:axId val="112137344"/>
        <c:scaling>
          <c:orientation val="minMax"/>
        </c:scaling>
        <c:axPos val="b"/>
        <c:majorGridlines/>
        <c:tickLblPos val="nextTo"/>
        <c:crossAx val="112138880"/>
        <c:crosses val="autoZero"/>
        <c:auto val="1"/>
        <c:lblAlgn val="ctr"/>
        <c:lblOffset val="100"/>
      </c:catAx>
      <c:valAx>
        <c:axId val="112138880"/>
        <c:scaling>
          <c:orientation val="minMax"/>
        </c:scaling>
        <c:axPos val="l"/>
        <c:numFmt formatCode="0%" sourceLinked="1"/>
        <c:tickLblPos val="nextTo"/>
        <c:txPr>
          <a:bodyPr/>
          <a:lstStyle/>
          <a:p>
            <a:pPr>
              <a:defRPr sz="800"/>
            </a:pPr>
            <a:endParaRPr lang="pl-PL"/>
          </a:p>
        </c:txPr>
        <c:crossAx val="112137344"/>
        <c:crosses val="autoZero"/>
        <c:crossBetween val="between"/>
        <c:majorUnit val="0.2"/>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9.3551605287218835E-3"/>
          <c:y val="0.75711310741246407"/>
          <c:w val="0.97574357314826798"/>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6.3327844574931902E-2"/>
          <c:y val="2.9014843262730551E-2"/>
          <c:w val="0.90714656633461477"/>
          <c:h val="0.66330292486374076"/>
        </c:manualLayout>
      </c:layout>
      <c:barChart>
        <c:barDir val="col"/>
        <c:grouping val="clustered"/>
        <c:ser>
          <c:idx val="0"/>
          <c:order val="0"/>
          <c:tx>
            <c:v>Mężczyźni</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Zbiorczy!$E$9</c:f>
              <c:numCache>
                <c:formatCode>General</c:formatCode>
                <c:ptCount val="1"/>
                <c:pt idx="0">
                  <c:v>3.6734693877551021</c:v>
                </c:pt>
              </c:numCache>
            </c:numRef>
          </c:val>
        </c:ser>
        <c:ser>
          <c:idx val="1"/>
          <c:order val="1"/>
          <c:tx>
            <c:v>Kobiety</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Zbiorczy!$H$9</c:f>
              <c:numCache>
                <c:formatCode>General</c:formatCode>
                <c:ptCount val="1"/>
                <c:pt idx="0">
                  <c:v>3.3267326732673266</c:v>
                </c:pt>
              </c:numCache>
            </c:numRef>
          </c:val>
        </c:ser>
        <c:ser>
          <c:idx val="9"/>
          <c:order val="2"/>
          <c:val>
            <c:numLit>
              <c:formatCode>General</c:formatCode>
              <c:ptCount val="1"/>
              <c:pt idx="0">
                <c:v>0</c:v>
              </c:pt>
            </c:numLit>
          </c:val>
        </c:ser>
        <c:ser>
          <c:idx val="2"/>
          <c:order val="3"/>
          <c:tx>
            <c:v>Wykształcenie wyższe</c:v>
          </c:tx>
          <c:val>
            <c:numRef>
              <c:f>Zbiorczy!$K$9</c:f>
              <c:numCache>
                <c:formatCode>General</c:formatCode>
                <c:ptCount val="1"/>
                <c:pt idx="0">
                  <c:v>3.8076923076923124</c:v>
                </c:pt>
              </c:numCache>
            </c:numRef>
          </c:val>
        </c:ser>
        <c:ser>
          <c:idx val="3"/>
          <c:order val="4"/>
          <c:tx>
            <c:v>Wykształcenie średnie i policealne</c:v>
          </c:tx>
          <c:val>
            <c:numRef>
              <c:f>Zbiorczy!$N$9</c:f>
              <c:numCache>
                <c:formatCode>General</c:formatCode>
                <c:ptCount val="1"/>
                <c:pt idx="0">
                  <c:v>3.757575757575764</c:v>
                </c:pt>
              </c:numCache>
            </c:numRef>
          </c:val>
        </c:ser>
        <c:ser>
          <c:idx val="4"/>
          <c:order val="5"/>
          <c:tx>
            <c:v>Wykształcenie zasadnicze zawodowe i poniżej</c:v>
          </c:tx>
          <c:val>
            <c:numRef>
              <c:f>Zbiorczy!$Q$9</c:f>
              <c:numCache>
                <c:formatCode>General</c:formatCode>
                <c:ptCount val="1"/>
                <c:pt idx="0">
                  <c:v>3.2735849056603836</c:v>
                </c:pt>
              </c:numCache>
            </c:numRef>
          </c:val>
        </c:ser>
        <c:ser>
          <c:idx val="10"/>
          <c:order val="6"/>
          <c:val>
            <c:numLit>
              <c:formatCode>General</c:formatCode>
              <c:ptCount val="1"/>
              <c:pt idx="0">
                <c:v>0</c:v>
              </c:pt>
            </c:numLit>
          </c:val>
        </c:ser>
        <c:ser>
          <c:idx val="5"/>
          <c:order val="7"/>
          <c:tx>
            <c:v>Wiek: 18-29</c:v>
          </c:tx>
          <c:val>
            <c:numRef>
              <c:f>Zbiorczy!$T$9</c:f>
              <c:numCache>
                <c:formatCode>General</c:formatCode>
                <c:ptCount val="1"/>
                <c:pt idx="0">
                  <c:v>3.64</c:v>
                </c:pt>
              </c:numCache>
            </c:numRef>
          </c:val>
        </c:ser>
        <c:ser>
          <c:idx val="6"/>
          <c:order val="8"/>
          <c:tx>
            <c:v>Wiek: 30-39</c:v>
          </c:tx>
          <c:val>
            <c:numRef>
              <c:f>Zbiorczy!$W$9</c:f>
              <c:numCache>
                <c:formatCode>General</c:formatCode>
                <c:ptCount val="1"/>
                <c:pt idx="0">
                  <c:v>3.4615384615384617</c:v>
                </c:pt>
              </c:numCache>
            </c:numRef>
          </c:val>
        </c:ser>
        <c:ser>
          <c:idx val="7"/>
          <c:order val="9"/>
          <c:tx>
            <c:v>Wiek: 40-59</c:v>
          </c:tx>
          <c:val>
            <c:numRef>
              <c:f>Zbiorczy!$Z$9</c:f>
              <c:numCache>
                <c:formatCode>General</c:formatCode>
                <c:ptCount val="1"/>
                <c:pt idx="0">
                  <c:v>3.5333333333333332</c:v>
                </c:pt>
              </c:numCache>
            </c:numRef>
          </c:val>
        </c:ser>
        <c:ser>
          <c:idx val="8"/>
          <c:order val="10"/>
          <c:tx>
            <c:v>Wiek: 60 i powyżej</c:v>
          </c:tx>
          <c:val>
            <c:numRef>
              <c:f>Zbiorczy!$AC$9</c:f>
              <c:numCache>
                <c:formatCode>General</c:formatCode>
                <c:ptCount val="1"/>
                <c:pt idx="0">
                  <c:v>3.2571428571428602</c:v>
                </c:pt>
              </c:numCache>
            </c:numRef>
          </c:val>
        </c:ser>
        <c:axId val="112996736"/>
        <c:axId val="112998272"/>
      </c:barChart>
      <c:catAx>
        <c:axId val="112996736"/>
        <c:scaling>
          <c:orientation val="minMax"/>
        </c:scaling>
        <c:delete val="1"/>
        <c:axPos val="b"/>
        <c:tickLblPos val="none"/>
        <c:crossAx val="112998272"/>
        <c:crosses val="autoZero"/>
        <c:auto val="1"/>
        <c:lblAlgn val="ctr"/>
        <c:lblOffset val="100"/>
      </c:catAx>
      <c:valAx>
        <c:axId val="112998272"/>
        <c:scaling>
          <c:orientation val="minMax"/>
        </c:scaling>
        <c:axPos val="l"/>
        <c:numFmt formatCode="General" sourceLinked="1"/>
        <c:tickLblPos val="nextTo"/>
        <c:txPr>
          <a:bodyPr/>
          <a:lstStyle/>
          <a:p>
            <a:pPr>
              <a:defRPr sz="800"/>
            </a:pPr>
            <a:endParaRPr lang="pl-PL"/>
          </a:p>
        </c:txPr>
        <c:crossAx val="112996736"/>
        <c:crosses val="autoZero"/>
        <c:crossBetween val="between"/>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1.4947091708339601E-2"/>
          <c:y val="0.75711310741246407"/>
          <c:w val="0.98179473734378353"/>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9.8026646470509043E-2"/>
          <c:y val="4.9957766555260012E-2"/>
          <c:w val="0.87316000360527823"/>
          <c:h val="0.61356827191901464"/>
        </c:manualLayout>
      </c:layout>
      <c:barChart>
        <c:barDir val="col"/>
        <c:grouping val="clustered"/>
        <c:ser>
          <c:idx val="0"/>
          <c:order val="0"/>
          <c:tx>
            <c:v>Mężczyźni</c:v>
          </c:tx>
          <c:dLbls>
            <c:txPr>
              <a:bodyPr rot="-5400000" vert="horz"/>
              <a:lstStyle/>
              <a:p>
                <a:pPr>
                  <a:defRPr/>
                </a:pPr>
                <a:endParaRPr lang="pl-PL"/>
              </a:p>
            </c:txPr>
            <c:showSerName val="1"/>
          </c:dLbls>
          <c:cat>
            <c:strRef>
              <c:f>Zbiorczy!$C$20:$D$20</c:f>
              <c:strCache>
                <c:ptCount val="2"/>
                <c:pt idx="0">
                  <c:v>NIE</c:v>
                </c:pt>
                <c:pt idx="1">
                  <c:v>TAK</c:v>
                </c:pt>
              </c:strCache>
            </c:strRef>
          </c:cat>
          <c:val>
            <c:numRef>
              <c:f>Zbiorczy!$C$10:$D$10</c:f>
              <c:numCache>
                <c:formatCode>0%</c:formatCode>
                <c:ptCount val="2"/>
                <c:pt idx="0">
                  <c:v>0.26683937823834197</c:v>
                </c:pt>
                <c:pt idx="1">
                  <c:v>0.73316062176165675</c:v>
                </c:pt>
              </c:numCache>
            </c:numRef>
          </c:val>
        </c:ser>
        <c:ser>
          <c:idx val="1"/>
          <c:order val="1"/>
          <c:tx>
            <c:v>Kobiety</c:v>
          </c:tx>
          <c:dLbls>
            <c:txPr>
              <a:bodyPr rot="-5400000" vert="horz"/>
              <a:lstStyle/>
              <a:p>
                <a:pPr>
                  <a:defRPr/>
                </a:pPr>
                <a:endParaRPr lang="pl-PL"/>
              </a:p>
            </c:txPr>
            <c:showSerName val="1"/>
          </c:dLbls>
          <c:val>
            <c:numRef>
              <c:f>Zbiorczy!$F$10:$G$10</c:f>
              <c:numCache>
                <c:formatCode>0%</c:formatCode>
                <c:ptCount val="2"/>
                <c:pt idx="0">
                  <c:v>0.25531914893617019</c:v>
                </c:pt>
                <c:pt idx="1">
                  <c:v>0.74468085106383186</c:v>
                </c:pt>
              </c:numCache>
            </c:numRef>
          </c:val>
        </c:ser>
        <c:ser>
          <c:idx val="9"/>
          <c:order val="2"/>
          <c:val>
            <c:numLit>
              <c:formatCode>General</c:formatCode>
              <c:ptCount val="1"/>
              <c:pt idx="0">
                <c:v>0</c:v>
              </c:pt>
            </c:numLit>
          </c:val>
        </c:ser>
        <c:ser>
          <c:idx val="2"/>
          <c:order val="3"/>
          <c:tx>
            <c:v>Wykształcenie wyższe</c:v>
          </c:tx>
          <c:val>
            <c:numRef>
              <c:f>Zbiorczy!$I$10:$J$10</c:f>
              <c:numCache>
                <c:formatCode>0%</c:formatCode>
                <c:ptCount val="2"/>
                <c:pt idx="0">
                  <c:v>0.25</c:v>
                </c:pt>
                <c:pt idx="1">
                  <c:v>0.75000000000000133</c:v>
                </c:pt>
              </c:numCache>
            </c:numRef>
          </c:val>
        </c:ser>
        <c:ser>
          <c:idx val="3"/>
          <c:order val="4"/>
          <c:tx>
            <c:v>Wykształcenie średnie i policealne</c:v>
          </c:tx>
          <c:val>
            <c:numRef>
              <c:f>Zbiorczy!$L$10:$M$10</c:f>
              <c:numCache>
                <c:formatCode>0%</c:formatCode>
                <c:ptCount val="2"/>
                <c:pt idx="0">
                  <c:v>0.2723735408560311</c:v>
                </c:pt>
                <c:pt idx="1">
                  <c:v>0.72762645914396884</c:v>
                </c:pt>
              </c:numCache>
            </c:numRef>
          </c:val>
        </c:ser>
        <c:ser>
          <c:idx val="4"/>
          <c:order val="5"/>
          <c:tx>
            <c:v>Wykształcenie zasadnicze zawodowe i poniżej</c:v>
          </c:tx>
          <c:val>
            <c:numRef>
              <c:f>Zbiorczy!$O$10:$P$10</c:f>
              <c:numCache>
                <c:formatCode>0%</c:formatCode>
                <c:ptCount val="2"/>
                <c:pt idx="0">
                  <c:v>0.25679012345678937</c:v>
                </c:pt>
                <c:pt idx="1">
                  <c:v>0.74320987654321269</c:v>
                </c:pt>
              </c:numCache>
            </c:numRef>
          </c:val>
        </c:ser>
        <c:ser>
          <c:idx val="10"/>
          <c:order val="6"/>
          <c:val>
            <c:numLit>
              <c:formatCode>General</c:formatCode>
              <c:ptCount val="1"/>
              <c:pt idx="0">
                <c:v>0</c:v>
              </c:pt>
            </c:numLit>
          </c:val>
        </c:ser>
        <c:ser>
          <c:idx val="5"/>
          <c:order val="7"/>
          <c:tx>
            <c:v>Wiek: 18-29</c:v>
          </c:tx>
          <c:val>
            <c:numRef>
              <c:f>Zbiorczy!$R$10:$S$10</c:f>
              <c:numCache>
                <c:formatCode>0%</c:formatCode>
                <c:ptCount val="2"/>
                <c:pt idx="0">
                  <c:v>0.32160804020100531</c:v>
                </c:pt>
                <c:pt idx="1">
                  <c:v>0.67839195979899658</c:v>
                </c:pt>
              </c:numCache>
            </c:numRef>
          </c:val>
        </c:ser>
        <c:ser>
          <c:idx val="6"/>
          <c:order val="8"/>
          <c:tx>
            <c:v>Wiek: 30-39</c:v>
          </c:tx>
          <c:val>
            <c:numRef>
              <c:f>Zbiorczy!$U$10:$V$10</c:f>
              <c:numCache>
                <c:formatCode>0%</c:formatCode>
                <c:ptCount val="2"/>
                <c:pt idx="0">
                  <c:v>0.22535211267605632</c:v>
                </c:pt>
                <c:pt idx="1">
                  <c:v>0.77464788732394541</c:v>
                </c:pt>
              </c:numCache>
            </c:numRef>
          </c:val>
        </c:ser>
        <c:ser>
          <c:idx val="7"/>
          <c:order val="9"/>
          <c:tx>
            <c:v>Wiek: 40-59</c:v>
          </c:tx>
          <c:val>
            <c:numRef>
              <c:f>Zbiorczy!$X$10:$Y$10</c:f>
              <c:numCache>
                <c:formatCode>0%</c:formatCode>
                <c:ptCount val="2"/>
                <c:pt idx="0">
                  <c:v>0.23711340206185574</c:v>
                </c:pt>
                <c:pt idx="1">
                  <c:v>0.76288659793814462</c:v>
                </c:pt>
              </c:numCache>
            </c:numRef>
          </c:val>
        </c:ser>
        <c:ser>
          <c:idx val="8"/>
          <c:order val="10"/>
          <c:tx>
            <c:v>Wiek: 60 i powyżej</c:v>
          </c:tx>
          <c:val>
            <c:numRef>
              <c:f>Zbiorczy!$AA$10:$AB$10</c:f>
              <c:numCache>
                <c:formatCode>0%</c:formatCode>
                <c:ptCount val="2"/>
                <c:pt idx="0">
                  <c:v>0.26153846153846216</c:v>
                </c:pt>
                <c:pt idx="1">
                  <c:v>0.73846153846153861</c:v>
                </c:pt>
              </c:numCache>
            </c:numRef>
          </c:val>
        </c:ser>
        <c:gapWidth val="136"/>
        <c:overlap val="-15"/>
        <c:axId val="113073536"/>
        <c:axId val="113091712"/>
      </c:barChart>
      <c:catAx>
        <c:axId val="113073536"/>
        <c:scaling>
          <c:orientation val="minMax"/>
        </c:scaling>
        <c:axPos val="b"/>
        <c:majorGridlines/>
        <c:tickLblPos val="nextTo"/>
        <c:crossAx val="113091712"/>
        <c:crosses val="autoZero"/>
        <c:auto val="1"/>
        <c:lblAlgn val="ctr"/>
        <c:lblOffset val="100"/>
      </c:catAx>
      <c:valAx>
        <c:axId val="113091712"/>
        <c:scaling>
          <c:orientation val="minMax"/>
          <c:max val="1"/>
          <c:min val="0"/>
        </c:scaling>
        <c:axPos val="l"/>
        <c:numFmt formatCode="0%" sourceLinked="1"/>
        <c:tickLblPos val="nextTo"/>
        <c:txPr>
          <a:bodyPr/>
          <a:lstStyle/>
          <a:p>
            <a:pPr>
              <a:defRPr sz="800"/>
            </a:pPr>
            <a:endParaRPr lang="pl-PL"/>
          </a:p>
        </c:txPr>
        <c:crossAx val="113073536"/>
        <c:crosses val="autoZero"/>
        <c:crossBetween val="between"/>
        <c:majorUnit val="0.2"/>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9.3551605287218766E-3"/>
          <c:y val="0.75711310741246407"/>
          <c:w val="0.97091955424077048"/>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6.1530345435283518E-2"/>
          <c:y val="2.4081535908983178E-2"/>
          <c:w val="0.90978212054062346"/>
          <c:h val="0.68392585920834348"/>
        </c:manualLayout>
      </c:layout>
      <c:barChart>
        <c:barDir val="col"/>
        <c:grouping val="clustered"/>
        <c:ser>
          <c:idx val="0"/>
          <c:order val="0"/>
          <c:tx>
            <c:v>Mężczyźni</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Zbiorczy!$E$10</c:f>
              <c:numCache>
                <c:formatCode>General</c:formatCode>
                <c:ptCount val="1"/>
                <c:pt idx="0">
                  <c:v>3.9591836734693877</c:v>
                </c:pt>
              </c:numCache>
            </c:numRef>
          </c:val>
        </c:ser>
        <c:ser>
          <c:idx val="1"/>
          <c:order val="1"/>
          <c:tx>
            <c:v>Kobiety</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Zbiorczy!$H$10</c:f>
              <c:numCache>
                <c:formatCode>General</c:formatCode>
                <c:ptCount val="1"/>
                <c:pt idx="0">
                  <c:v>3.7326732673267342</c:v>
                </c:pt>
              </c:numCache>
            </c:numRef>
          </c:val>
        </c:ser>
        <c:ser>
          <c:idx val="9"/>
          <c:order val="2"/>
          <c:val>
            <c:numLit>
              <c:formatCode>General</c:formatCode>
              <c:ptCount val="1"/>
              <c:pt idx="0">
                <c:v>0</c:v>
              </c:pt>
            </c:numLit>
          </c:val>
        </c:ser>
        <c:ser>
          <c:idx val="2"/>
          <c:order val="3"/>
          <c:tx>
            <c:v>Wykształcenie wyższe</c:v>
          </c:tx>
          <c:val>
            <c:numRef>
              <c:f>Zbiorczy!$K$10</c:f>
              <c:numCache>
                <c:formatCode>General</c:formatCode>
                <c:ptCount val="1"/>
                <c:pt idx="0">
                  <c:v>3.8461538461538463</c:v>
                </c:pt>
              </c:numCache>
            </c:numRef>
          </c:val>
        </c:ser>
        <c:ser>
          <c:idx val="3"/>
          <c:order val="4"/>
          <c:tx>
            <c:v>Wykształcenie średnie i policealne</c:v>
          </c:tx>
          <c:val>
            <c:numRef>
              <c:f>Zbiorczy!$N$10</c:f>
              <c:numCache>
                <c:formatCode>General</c:formatCode>
                <c:ptCount val="1"/>
                <c:pt idx="0">
                  <c:v>3.9090909090909087</c:v>
                </c:pt>
              </c:numCache>
            </c:numRef>
          </c:val>
        </c:ser>
        <c:ser>
          <c:idx val="4"/>
          <c:order val="5"/>
          <c:tx>
            <c:v>Wykształcenie zasadnicze zawodowe i poniżej</c:v>
          </c:tx>
          <c:val>
            <c:numRef>
              <c:f>Zbiorczy!$Q$10</c:f>
              <c:numCache>
                <c:formatCode>General</c:formatCode>
                <c:ptCount val="1"/>
                <c:pt idx="0">
                  <c:v>3.820754716981138</c:v>
                </c:pt>
              </c:numCache>
            </c:numRef>
          </c:val>
        </c:ser>
        <c:ser>
          <c:idx val="10"/>
          <c:order val="6"/>
          <c:val>
            <c:numLit>
              <c:formatCode>General</c:formatCode>
              <c:ptCount val="1"/>
              <c:pt idx="0">
                <c:v>0</c:v>
              </c:pt>
            </c:numLit>
          </c:val>
        </c:ser>
        <c:ser>
          <c:idx val="5"/>
          <c:order val="7"/>
          <c:tx>
            <c:v>Wiek: 18-29</c:v>
          </c:tx>
          <c:val>
            <c:numRef>
              <c:f>Zbiorczy!$T$10</c:f>
              <c:numCache>
                <c:formatCode>General</c:formatCode>
                <c:ptCount val="1"/>
                <c:pt idx="0">
                  <c:v>3.98</c:v>
                </c:pt>
              </c:numCache>
            </c:numRef>
          </c:val>
        </c:ser>
        <c:ser>
          <c:idx val="6"/>
          <c:order val="8"/>
          <c:tx>
            <c:v>Wiek: 30-39</c:v>
          </c:tx>
          <c:val>
            <c:numRef>
              <c:f>Zbiorczy!$W$10</c:f>
              <c:numCache>
                <c:formatCode>General</c:formatCode>
                <c:ptCount val="1"/>
                <c:pt idx="0">
                  <c:v>3.6923076923076952</c:v>
                </c:pt>
              </c:numCache>
            </c:numRef>
          </c:val>
        </c:ser>
        <c:ser>
          <c:idx val="7"/>
          <c:order val="9"/>
          <c:tx>
            <c:v>Wiek: 40-59</c:v>
          </c:tx>
          <c:val>
            <c:numRef>
              <c:f>Zbiorczy!$Z$10</c:f>
              <c:numCache>
                <c:formatCode>General</c:formatCode>
                <c:ptCount val="1"/>
                <c:pt idx="0">
                  <c:v>3.88</c:v>
                </c:pt>
              </c:numCache>
            </c:numRef>
          </c:val>
        </c:ser>
        <c:ser>
          <c:idx val="8"/>
          <c:order val="10"/>
          <c:tx>
            <c:v>Wiek: 60 i powyżej</c:v>
          </c:tx>
          <c:val>
            <c:numRef>
              <c:f>Zbiorczy!$AC$10</c:f>
              <c:numCache>
                <c:formatCode>General</c:formatCode>
                <c:ptCount val="1"/>
                <c:pt idx="0">
                  <c:v>3.7428571428571442</c:v>
                </c:pt>
              </c:numCache>
            </c:numRef>
          </c:val>
        </c:ser>
        <c:axId val="115825280"/>
        <c:axId val="115876224"/>
      </c:barChart>
      <c:catAx>
        <c:axId val="115825280"/>
        <c:scaling>
          <c:orientation val="minMax"/>
        </c:scaling>
        <c:delete val="1"/>
        <c:axPos val="b"/>
        <c:tickLblPos val="none"/>
        <c:crossAx val="115876224"/>
        <c:crosses val="autoZero"/>
        <c:auto val="1"/>
        <c:lblAlgn val="ctr"/>
        <c:lblOffset val="100"/>
      </c:catAx>
      <c:valAx>
        <c:axId val="115876224"/>
        <c:scaling>
          <c:orientation val="minMax"/>
          <c:max val="5"/>
        </c:scaling>
        <c:axPos val="l"/>
        <c:numFmt formatCode="General" sourceLinked="1"/>
        <c:tickLblPos val="nextTo"/>
        <c:txPr>
          <a:bodyPr/>
          <a:lstStyle/>
          <a:p>
            <a:pPr>
              <a:defRPr sz="800"/>
            </a:pPr>
            <a:endParaRPr lang="pl-PL"/>
          </a:p>
        </c:txPr>
        <c:crossAx val="115825280"/>
        <c:crosses val="autoZero"/>
        <c:crossBetween val="between"/>
        <c:majorUnit val="1"/>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1.585121056156007E-2"/>
          <c:y val="0.75711310741246407"/>
          <c:w val="0.9627513579935002"/>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en-US" sz="1000"/>
              <a:t>Pracując</a:t>
            </a:r>
            <a:r>
              <a:rPr lang="pl-PL" sz="1000"/>
              <a:t>y w  gminie Pobiedziska wg sektorów działalności w 2009 r.</a:t>
            </a:r>
            <a:r>
              <a:rPr lang="en-US" sz="1000"/>
              <a:t> </a:t>
            </a:r>
          </a:p>
        </c:rich>
      </c:tx>
      <c:layout>
        <c:manualLayout>
          <c:xMode val="edge"/>
          <c:yMode val="edge"/>
          <c:x val="0.10590200952209651"/>
          <c:y val="0"/>
        </c:manualLayout>
      </c:layout>
    </c:title>
    <c:plotArea>
      <c:layout>
        <c:manualLayout>
          <c:layoutTarget val="inner"/>
          <c:xMode val="edge"/>
          <c:yMode val="edge"/>
          <c:x val="5.8103114414749413E-2"/>
          <c:y val="0.15026222154460231"/>
          <c:w val="0.88387403847364165"/>
          <c:h val="0.46148267721612235"/>
        </c:manualLayout>
      </c:layout>
      <c:barChart>
        <c:barDir val="bar"/>
        <c:grouping val="percentStacked"/>
        <c:ser>
          <c:idx val="0"/>
          <c:order val="0"/>
          <c:tx>
            <c:strRef>
              <c:f>przedsiębiorstwa!$C$171</c:f>
              <c:strCache>
                <c:ptCount val="1"/>
                <c:pt idx="0">
                  <c:v>rolnictwo, leśnictwo, łowiectwo i rybactwo</c:v>
                </c:pt>
              </c:strCache>
            </c:strRef>
          </c:tx>
          <c:cat>
            <c:numRef>
              <c:f>przedsiębiorstwa!$C$169</c:f>
              <c:numCache>
                <c:formatCode>General</c:formatCode>
                <c:ptCount val="1"/>
                <c:pt idx="0">
                  <c:v>2009</c:v>
                </c:pt>
              </c:numCache>
            </c:numRef>
          </c:cat>
          <c:val>
            <c:numRef>
              <c:f>przedsiębiorstwa!$D$171</c:f>
              <c:numCache>
                <c:formatCode>General</c:formatCode>
                <c:ptCount val="1"/>
                <c:pt idx="0">
                  <c:v>27</c:v>
                </c:pt>
              </c:numCache>
            </c:numRef>
          </c:val>
        </c:ser>
        <c:ser>
          <c:idx val="1"/>
          <c:order val="1"/>
          <c:tx>
            <c:strRef>
              <c:f>przedsiębiorstwa!$C$172</c:f>
              <c:strCache>
                <c:ptCount val="1"/>
                <c:pt idx="0">
                  <c:v>przemysł i budownictwo</c:v>
                </c:pt>
              </c:strCache>
            </c:strRef>
          </c:tx>
          <c:cat>
            <c:numRef>
              <c:f>przedsiębiorstwa!$C$169</c:f>
              <c:numCache>
                <c:formatCode>General</c:formatCode>
                <c:ptCount val="1"/>
                <c:pt idx="0">
                  <c:v>2009</c:v>
                </c:pt>
              </c:numCache>
            </c:numRef>
          </c:cat>
          <c:val>
            <c:numRef>
              <c:f>przedsiębiorstwa!$D$172</c:f>
              <c:numCache>
                <c:formatCode>General</c:formatCode>
                <c:ptCount val="1"/>
                <c:pt idx="0">
                  <c:v>998</c:v>
                </c:pt>
              </c:numCache>
            </c:numRef>
          </c:val>
        </c:ser>
        <c:ser>
          <c:idx val="2"/>
          <c:order val="2"/>
          <c:tx>
            <c:strRef>
              <c:f>przedsiębiorstwa!$C$173</c:f>
              <c:strCache>
                <c:ptCount val="1"/>
                <c:pt idx="0">
                  <c:v>usługi rynkowe</c:v>
                </c:pt>
              </c:strCache>
            </c:strRef>
          </c:tx>
          <c:cat>
            <c:numRef>
              <c:f>przedsiębiorstwa!$C$169</c:f>
              <c:numCache>
                <c:formatCode>General</c:formatCode>
                <c:ptCount val="1"/>
                <c:pt idx="0">
                  <c:v>2009</c:v>
                </c:pt>
              </c:numCache>
            </c:numRef>
          </c:cat>
          <c:val>
            <c:numRef>
              <c:f>przedsiębiorstwa!$D$173</c:f>
              <c:numCache>
                <c:formatCode>General</c:formatCode>
                <c:ptCount val="1"/>
                <c:pt idx="0">
                  <c:v>536</c:v>
                </c:pt>
              </c:numCache>
            </c:numRef>
          </c:val>
        </c:ser>
        <c:ser>
          <c:idx val="3"/>
          <c:order val="3"/>
          <c:tx>
            <c:strRef>
              <c:f>przedsiębiorstwa!$C$174</c:f>
              <c:strCache>
                <c:ptCount val="1"/>
                <c:pt idx="0">
                  <c:v>usługi nierynkowe</c:v>
                </c:pt>
              </c:strCache>
            </c:strRef>
          </c:tx>
          <c:cat>
            <c:numRef>
              <c:f>przedsiębiorstwa!$C$169</c:f>
              <c:numCache>
                <c:formatCode>General</c:formatCode>
                <c:ptCount val="1"/>
                <c:pt idx="0">
                  <c:v>2009</c:v>
                </c:pt>
              </c:numCache>
            </c:numRef>
          </c:cat>
          <c:val>
            <c:numRef>
              <c:f>przedsiębiorstwa!$D$174</c:f>
              <c:numCache>
                <c:formatCode>General</c:formatCode>
                <c:ptCount val="1"/>
                <c:pt idx="0">
                  <c:v>455</c:v>
                </c:pt>
              </c:numCache>
            </c:numRef>
          </c:val>
        </c:ser>
        <c:gapWidth val="55"/>
        <c:overlap val="100"/>
        <c:axId val="132880256"/>
        <c:axId val="133155072"/>
      </c:barChart>
      <c:catAx>
        <c:axId val="132880256"/>
        <c:scaling>
          <c:orientation val="minMax"/>
        </c:scaling>
        <c:delete val="1"/>
        <c:axPos val="l"/>
        <c:numFmt formatCode="General" sourceLinked="1"/>
        <c:majorTickMark val="none"/>
        <c:tickLblPos val="none"/>
        <c:crossAx val="133155072"/>
        <c:crosses val="autoZero"/>
        <c:auto val="1"/>
        <c:lblAlgn val="ctr"/>
        <c:lblOffset val="100"/>
      </c:catAx>
      <c:valAx>
        <c:axId val="133155072"/>
        <c:scaling>
          <c:orientation val="minMax"/>
        </c:scaling>
        <c:axPos val="b"/>
        <c:majorGridlines/>
        <c:numFmt formatCode="0%" sourceLinked="1"/>
        <c:majorTickMark val="none"/>
        <c:tickLblPos val="nextTo"/>
        <c:txPr>
          <a:bodyPr/>
          <a:lstStyle/>
          <a:p>
            <a:pPr>
              <a:defRPr sz="900"/>
            </a:pPr>
            <a:endParaRPr lang="pl-PL"/>
          </a:p>
        </c:txPr>
        <c:crossAx val="132880256"/>
        <c:crosses val="autoZero"/>
        <c:crossBetween val="between"/>
      </c:valAx>
      <c:spPr>
        <a:solidFill>
          <a:sysClr val="window" lastClr="FFFFFF">
            <a:lumMod val="95000"/>
          </a:sysClr>
        </a:solidFill>
      </c:spPr>
    </c:plotArea>
    <c:legend>
      <c:legendPos val="b"/>
      <c:layout>
        <c:manualLayout>
          <c:xMode val="edge"/>
          <c:yMode val="edge"/>
          <c:x val="2.8464087323883776E-2"/>
          <c:y val="0.81331589475869193"/>
          <c:w val="0.95134282859373065"/>
          <c:h val="0.16430424810735644"/>
        </c:manualLayout>
      </c:layout>
      <c:txPr>
        <a:bodyPr/>
        <a:lstStyle/>
        <a:p>
          <a:pPr>
            <a:defRPr sz="900"/>
          </a:pPr>
          <a:endParaRPr lang="pl-PL"/>
        </a:p>
      </c:txPr>
    </c:legend>
    <c:plotVisOnly val="1"/>
    <c:dispBlanksAs val="gap"/>
  </c:chart>
  <c:spPr>
    <a:solidFill>
      <a:schemeClr val="bg1">
        <a:lumMod val="95000"/>
      </a:schemeClr>
    </a:solidFill>
    <a:ln>
      <a:noFill/>
    </a:ln>
  </c:sp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9.8893925966678189E-2"/>
          <c:y val="4.6263685788438182E-2"/>
          <c:w val="0.87203774014407665"/>
          <c:h val="0.59579546880810907"/>
        </c:manualLayout>
      </c:layout>
      <c:barChart>
        <c:barDir val="col"/>
        <c:grouping val="clustered"/>
        <c:ser>
          <c:idx val="0"/>
          <c:order val="0"/>
          <c:tx>
            <c:v>Mężczyźni</c:v>
          </c:tx>
          <c:dLbls>
            <c:txPr>
              <a:bodyPr rot="-5400000" vert="horz"/>
              <a:lstStyle/>
              <a:p>
                <a:pPr>
                  <a:defRPr/>
                </a:pPr>
                <a:endParaRPr lang="pl-PL"/>
              </a:p>
            </c:txPr>
            <c:showSerName val="1"/>
          </c:dLbls>
          <c:cat>
            <c:strRef>
              <c:f>Zbiorczy!$C$20:$D$20</c:f>
              <c:strCache>
                <c:ptCount val="2"/>
                <c:pt idx="0">
                  <c:v>NIE</c:v>
                </c:pt>
                <c:pt idx="1">
                  <c:v>TAK</c:v>
                </c:pt>
              </c:strCache>
            </c:strRef>
          </c:cat>
          <c:val>
            <c:numRef>
              <c:f>Zbiorczy!$C$11:$D$11</c:f>
              <c:numCache>
                <c:formatCode>0%</c:formatCode>
                <c:ptCount val="2"/>
                <c:pt idx="0">
                  <c:v>0.11152416356877323</c:v>
                </c:pt>
                <c:pt idx="1">
                  <c:v>0.88847583643122674</c:v>
                </c:pt>
              </c:numCache>
            </c:numRef>
          </c:val>
        </c:ser>
        <c:ser>
          <c:idx val="1"/>
          <c:order val="1"/>
          <c:tx>
            <c:v>Kobiety</c:v>
          </c:tx>
          <c:dLbls>
            <c:txPr>
              <a:bodyPr rot="-5400000" vert="horz"/>
              <a:lstStyle/>
              <a:p>
                <a:pPr>
                  <a:defRPr/>
                </a:pPr>
                <a:endParaRPr lang="pl-PL"/>
              </a:p>
            </c:txPr>
            <c:showSerName val="1"/>
          </c:dLbls>
          <c:val>
            <c:numRef>
              <c:f>Zbiorczy!$F$11:$G$11</c:f>
              <c:numCache>
                <c:formatCode>0%</c:formatCode>
                <c:ptCount val="2"/>
                <c:pt idx="0">
                  <c:v>0.15841584158415903</c:v>
                </c:pt>
                <c:pt idx="1">
                  <c:v>0.84158415841584155</c:v>
                </c:pt>
              </c:numCache>
            </c:numRef>
          </c:val>
        </c:ser>
        <c:ser>
          <c:idx val="9"/>
          <c:order val="2"/>
          <c:val>
            <c:numLit>
              <c:formatCode>General</c:formatCode>
              <c:ptCount val="1"/>
              <c:pt idx="0">
                <c:v>0</c:v>
              </c:pt>
            </c:numLit>
          </c:val>
        </c:ser>
        <c:ser>
          <c:idx val="2"/>
          <c:order val="3"/>
          <c:tx>
            <c:v>Wykształcenie wyższe</c:v>
          </c:tx>
          <c:val>
            <c:numRef>
              <c:f>Zbiorczy!$I$11:$J$11</c:f>
              <c:numCache>
                <c:formatCode>0%</c:formatCode>
                <c:ptCount val="2"/>
                <c:pt idx="0">
                  <c:v>0.15053763440860221</c:v>
                </c:pt>
                <c:pt idx="1">
                  <c:v>0.84946236559139643</c:v>
                </c:pt>
              </c:numCache>
            </c:numRef>
          </c:val>
        </c:ser>
        <c:ser>
          <c:idx val="3"/>
          <c:order val="4"/>
          <c:tx>
            <c:v>Wykształcenie średnie i policealne</c:v>
          </c:tx>
          <c:val>
            <c:numRef>
              <c:f>Zbiorczy!$L$11:$M$11</c:f>
              <c:numCache>
                <c:formatCode>0%</c:formatCode>
                <c:ptCount val="2"/>
                <c:pt idx="0">
                  <c:v>0.12105263157894749</c:v>
                </c:pt>
                <c:pt idx="1">
                  <c:v>0.8789473684210527</c:v>
                </c:pt>
              </c:numCache>
            </c:numRef>
          </c:val>
        </c:ser>
        <c:ser>
          <c:idx val="4"/>
          <c:order val="5"/>
          <c:tx>
            <c:v>Wykształcenie zasadnicze zawodowe i poniżej</c:v>
          </c:tx>
          <c:val>
            <c:numRef>
              <c:f>Zbiorczy!$O$11:$P$11</c:f>
              <c:numCache>
                <c:formatCode>0%</c:formatCode>
                <c:ptCount val="2"/>
                <c:pt idx="0">
                  <c:v>0.14285714285714332</c:v>
                </c:pt>
                <c:pt idx="1">
                  <c:v>0.85714285714285765</c:v>
                </c:pt>
              </c:numCache>
            </c:numRef>
          </c:val>
        </c:ser>
        <c:ser>
          <c:idx val="10"/>
          <c:order val="6"/>
          <c:val>
            <c:numLit>
              <c:formatCode>General</c:formatCode>
              <c:ptCount val="1"/>
              <c:pt idx="0">
                <c:v>0</c:v>
              </c:pt>
            </c:numLit>
          </c:val>
        </c:ser>
        <c:ser>
          <c:idx val="5"/>
          <c:order val="7"/>
          <c:tx>
            <c:v>Wiek: 18-29</c:v>
          </c:tx>
          <c:val>
            <c:numRef>
              <c:f>Zbiorczy!$R$11:$S$11</c:f>
              <c:numCache>
                <c:formatCode>0%</c:formatCode>
                <c:ptCount val="2"/>
                <c:pt idx="0">
                  <c:v>0.17307692307692321</c:v>
                </c:pt>
                <c:pt idx="1">
                  <c:v>0.8269230769230792</c:v>
                </c:pt>
              </c:numCache>
            </c:numRef>
          </c:val>
        </c:ser>
        <c:ser>
          <c:idx val="6"/>
          <c:order val="8"/>
          <c:tx>
            <c:v>Wiek: 30-39</c:v>
          </c:tx>
          <c:val>
            <c:numRef>
              <c:f>Zbiorczy!$U$11:$V$11</c:f>
              <c:numCache>
                <c:formatCode>0%</c:formatCode>
                <c:ptCount val="2"/>
                <c:pt idx="0">
                  <c:v>0.12371134020618589</c:v>
                </c:pt>
                <c:pt idx="1">
                  <c:v>0.87628865979381465</c:v>
                </c:pt>
              </c:numCache>
            </c:numRef>
          </c:val>
        </c:ser>
        <c:ser>
          <c:idx val="7"/>
          <c:order val="9"/>
          <c:tx>
            <c:v>Wiek: 40-59</c:v>
          </c:tx>
          <c:val>
            <c:numRef>
              <c:f>Zbiorczy!$X$11:$Y$11</c:f>
              <c:numCache>
                <c:formatCode>0%</c:formatCode>
                <c:ptCount val="2"/>
                <c:pt idx="0">
                  <c:v>0.10389610389610406</c:v>
                </c:pt>
                <c:pt idx="1">
                  <c:v>0.89610389610389796</c:v>
                </c:pt>
              </c:numCache>
            </c:numRef>
          </c:val>
        </c:ser>
        <c:ser>
          <c:idx val="8"/>
          <c:order val="10"/>
          <c:tx>
            <c:v>Wiek: 60 i powyżej</c:v>
          </c:tx>
          <c:val>
            <c:numRef>
              <c:f>Zbiorczy!$AA$11:$AB$11</c:f>
              <c:numCache>
                <c:formatCode>0%</c:formatCode>
                <c:ptCount val="2"/>
                <c:pt idx="0">
                  <c:v>0.17045454545454539</c:v>
                </c:pt>
                <c:pt idx="1">
                  <c:v>0.82954545454545614</c:v>
                </c:pt>
              </c:numCache>
            </c:numRef>
          </c:val>
        </c:ser>
        <c:gapWidth val="136"/>
        <c:overlap val="-15"/>
        <c:axId val="115914624"/>
        <c:axId val="115916160"/>
      </c:barChart>
      <c:catAx>
        <c:axId val="115914624"/>
        <c:scaling>
          <c:orientation val="minMax"/>
        </c:scaling>
        <c:axPos val="b"/>
        <c:majorGridlines/>
        <c:tickLblPos val="nextTo"/>
        <c:crossAx val="115916160"/>
        <c:crosses val="autoZero"/>
        <c:auto val="1"/>
        <c:lblAlgn val="ctr"/>
        <c:lblOffset val="100"/>
      </c:catAx>
      <c:valAx>
        <c:axId val="115916160"/>
        <c:scaling>
          <c:orientation val="minMax"/>
        </c:scaling>
        <c:axPos val="l"/>
        <c:numFmt formatCode="0%" sourceLinked="1"/>
        <c:tickLblPos val="nextTo"/>
        <c:txPr>
          <a:bodyPr/>
          <a:lstStyle/>
          <a:p>
            <a:pPr>
              <a:defRPr sz="800"/>
            </a:pPr>
            <a:endParaRPr lang="pl-PL"/>
          </a:p>
        </c:txPr>
        <c:crossAx val="115914624"/>
        <c:crosses val="autoZero"/>
        <c:crossBetween val="between"/>
        <c:majorUnit val="0.2"/>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1.6401864618136357E-2"/>
          <c:y val="0.75711310741246407"/>
          <c:w val="0.98223398364973846"/>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6.2347310617307791E-2"/>
          <c:y val="3.9162100645827751E-2"/>
          <c:w val="0.90858435549344696"/>
          <c:h val="0.63958224522952811"/>
        </c:manualLayout>
      </c:layout>
      <c:barChart>
        <c:barDir val="col"/>
        <c:grouping val="clustered"/>
        <c:ser>
          <c:idx val="0"/>
          <c:order val="0"/>
          <c:tx>
            <c:v>Mężczyźni</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Zbiorczy!$E$11</c:f>
              <c:numCache>
                <c:formatCode>General</c:formatCode>
                <c:ptCount val="1"/>
                <c:pt idx="0">
                  <c:v>3.3775510204081627</c:v>
                </c:pt>
              </c:numCache>
            </c:numRef>
          </c:val>
        </c:ser>
        <c:ser>
          <c:idx val="1"/>
          <c:order val="1"/>
          <c:tx>
            <c:v>Kobiety</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Zbiorczy!$H$11</c:f>
              <c:numCache>
                <c:formatCode>General</c:formatCode>
                <c:ptCount val="1"/>
                <c:pt idx="0">
                  <c:v>3.7425742574257495</c:v>
                </c:pt>
              </c:numCache>
            </c:numRef>
          </c:val>
        </c:ser>
        <c:ser>
          <c:idx val="9"/>
          <c:order val="2"/>
          <c:val>
            <c:numLit>
              <c:formatCode>General</c:formatCode>
              <c:ptCount val="1"/>
              <c:pt idx="0">
                <c:v>0</c:v>
              </c:pt>
            </c:numLit>
          </c:val>
        </c:ser>
        <c:ser>
          <c:idx val="2"/>
          <c:order val="3"/>
          <c:tx>
            <c:v>Wykształcenie wyższe</c:v>
          </c:tx>
          <c:val>
            <c:numRef>
              <c:f>Zbiorczy!$K$11</c:f>
              <c:numCache>
                <c:formatCode>General</c:formatCode>
                <c:ptCount val="1"/>
                <c:pt idx="0">
                  <c:v>4</c:v>
                </c:pt>
              </c:numCache>
            </c:numRef>
          </c:val>
        </c:ser>
        <c:ser>
          <c:idx val="3"/>
          <c:order val="4"/>
          <c:tx>
            <c:v>Wykształcenie średnie i policealne</c:v>
          </c:tx>
          <c:val>
            <c:numRef>
              <c:f>Zbiorczy!$N$11</c:f>
              <c:numCache>
                <c:formatCode>General</c:formatCode>
                <c:ptCount val="1"/>
                <c:pt idx="0">
                  <c:v>3.727272727272732</c:v>
                </c:pt>
              </c:numCache>
            </c:numRef>
          </c:val>
        </c:ser>
        <c:ser>
          <c:idx val="4"/>
          <c:order val="5"/>
          <c:tx>
            <c:v>Wykształcenie zasadnicze zawodowe i poniżej</c:v>
          </c:tx>
          <c:val>
            <c:numRef>
              <c:f>Zbiorczy!$Q$11</c:f>
              <c:numCache>
                <c:formatCode>General</c:formatCode>
                <c:ptCount val="1"/>
                <c:pt idx="0">
                  <c:v>3.3679245283018915</c:v>
                </c:pt>
              </c:numCache>
            </c:numRef>
          </c:val>
        </c:ser>
        <c:ser>
          <c:idx val="10"/>
          <c:order val="6"/>
          <c:val>
            <c:numLit>
              <c:formatCode>General</c:formatCode>
              <c:ptCount val="1"/>
              <c:pt idx="0">
                <c:v>0</c:v>
              </c:pt>
            </c:numLit>
          </c:val>
        </c:ser>
        <c:ser>
          <c:idx val="5"/>
          <c:order val="7"/>
          <c:tx>
            <c:v>Wiek: 18-29</c:v>
          </c:tx>
          <c:val>
            <c:numRef>
              <c:f>Zbiorczy!$T$11</c:f>
              <c:numCache>
                <c:formatCode>General</c:formatCode>
                <c:ptCount val="1"/>
                <c:pt idx="0">
                  <c:v>3.9</c:v>
                </c:pt>
              </c:numCache>
            </c:numRef>
          </c:val>
        </c:ser>
        <c:ser>
          <c:idx val="6"/>
          <c:order val="8"/>
          <c:tx>
            <c:v>Wiek: 30-39</c:v>
          </c:tx>
          <c:val>
            <c:numRef>
              <c:f>Zbiorczy!$W$11</c:f>
              <c:numCache>
                <c:formatCode>General</c:formatCode>
                <c:ptCount val="1"/>
                <c:pt idx="0">
                  <c:v>3.5641025641025652</c:v>
                </c:pt>
              </c:numCache>
            </c:numRef>
          </c:val>
        </c:ser>
        <c:ser>
          <c:idx val="7"/>
          <c:order val="9"/>
          <c:tx>
            <c:v>Wiek: 40-59</c:v>
          </c:tx>
          <c:val>
            <c:numRef>
              <c:f>Zbiorczy!$Z$11</c:f>
              <c:numCache>
                <c:formatCode>General</c:formatCode>
                <c:ptCount val="1"/>
                <c:pt idx="0">
                  <c:v>3.5466666666666669</c:v>
                </c:pt>
              </c:numCache>
            </c:numRef>
          </c:val>
        </c:ser>
        <c:ser>
          <c:idx val="8"/>
          <c:order val="10"/>
          <c:tx>
            <c:v>Wiek: 60 i powyżej</c:v>
          </c:tx>
          <c:val>
            <c:numRef>
              <c:f>Zbiorczy!$AC$11</c:f>
              <c:numCache>
                <c:formatCode>General</c:formatCode>
                <c:ptCount val="1"/>
                <c:pt idx="0">
                  <c:v>3.1142857142857143</c:v>
                </c:pt>
              </c:numCache>
            </c:numRef>
          </c:val>
        </c:ser>
        <c:axId val="116171904"/>
        <c:axId val="116173440"/>
      </c:barChart>
      <c:catAx>
        <c:axId val="116171904"/>
        <c:scaling>
          <c:orientation val="minMax"/>
        </c:scaling>
        <c:delete val="1"/>
        <c:axPos val="b"/>
        <c:tickLblPos val="none"/>
        <c:crossAx val="116173440"/>
        <c:crosses val="autoZero"/>
        <c:auto val="1"/>
        <c:lblAlgn val="ctr"/>
        <c:lblOffset val="100"/>
      </c:catAx>
      <c:valAx>
        <c:axId val="116173440"/>
        <c:scaling>
          <c:orientation val="minMax"/>
          <c:max val="5"/>
        </c:scaling>
        <c:axPos val="l"/>
        <c:numFmt formatCode="General" sourceLinked="1"/>
        <c:tickLblPos val="nextTo"/>
        <c:txPr>
          <a:bodyPr/>
          <a:lstStyle/>
          <a:p>
            <a:pPr>
              <a:defRPr sz="800"/>
            </a:pPr>
            <a:endParaRPr lang="pl-PL"/>
          </a:p>
        </c:txPr>
        <c:crossAx val="116171904"/>
        <c:crosses val="autoZero"/>
        <c:crossBetween val="between"/>
        <c:majorUnit val="1"/>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1.393623399194429E-2"/>
          <c:y val="0.75711310741246407"/>
          <c:w val="0.98298160371891552"/>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9.2931510534953146E-2"/>
          <c:y val="4.8127804297258263E-2"/>
          <c:w val="0.87975271500613672"/>
          <c:h val="0.5909953119315613"/>
        </c:manualLayout>
      </c:layout>
      <c:barChart>
        <c:barDir val="col"/>
        <c:grouping val="clustered"/>
        <c:ser>
          <c:idx val="0"/>
          <c:order val="0"/>
          <c:tx>
            <c:v>Mężczyźni</c:v>
          </c:tx>
          <c:dLbls>
            <c:txPr>
              <a:bodyPr rot="-5400000" vert="horz"/>
              <a:lstStyle/>
              <a:p>
                <a:pPr>
                  <a:defRPr/>
                </a:pPr>
                <a:endParaRPr lang="pl-PL"/>
              </a:p>
            </c:txPr>
            <c:showSerName val="1"/>
          </c:dLbls>
          <c:cat>
            <c:strRef>
              <c:f>Zbiorczy!$C$20:$D$20</c:f>
              <c:strCache>
                <c:ptCount val="2"/>
                <c:pt idx="0">
                  <c:v>NIE</c:v>
                </c:pt>
                <c:pt idx="1">
                  <c:v>TAK</c:v>
                </c:pt>
              </c:strCache>
            </c:strRef>
          </c:cat>
          <c:val>
            <c:numRef>
              <c:f>Zbiorczy!$C$12:$D$12</c:f>
              <c:numCache>
                <c:formatCode>0%</c:formatCode>
                <c:ptCount val="2"/>
                <c:pt idx="0">
                  <c:v>0.35958005249343833</c:v>
                </c:pt>
                <c:pt idx="1">
                  <c:v>0.64041994750656173</c:v>
                </c:pt>
              </c:numCache>
            </c:numRef>
          </c:val>
        </c:ser>
        <c:ser>
          <c:idx val="1"/>
          <c:order val="1"/>
          <c:tx>
            <c:v>Kobiety</c:v>
          </c:tx>
          <c:dLbls>
            <c:txPr>
              <a:bodyPr rot="-5400000" vert="horz"/>
              <a:lstStyle/>
              <a:p>
                <a:pPr>
                  <a:defRPr/>
                </a:pPr>
                <a:endParaRPr lang="pl-PL"/>
              </a:p>
            </c:txPr>
            <c:showSerName val="1"/>
          </c:dLbls>
          <c:val>
            <c:numRef>
              <c:f>Zbiorczy!$F$12:$G$12</c:f>
              <c:numCache>
                <c:formatCode>0%</c:formatCode>
                <c:ptCount val="2"/>
                <c:pt idx="0">
                  <c:v>0.26436781609195431</c:v>
                </c:pt>
                <c:pt idx="1">
                  <c:v>0.73563218390804597</c:v>
                </c:pt>
              </c:numCache>
            </c:numRef>
          </c:val>
        </c:ser>
        <c:ser>
          <c:idx val="9"/>
          <c:order val="2"/>
          <c:val>
            <c:numLit>
              <c:formatCode>General</c:formatCode>
              <c:ptCount val="1"/>
              <c:pt idx="0">
                <c:v>0</c:v>
              </c:pt>
            </c:numLit>
          </c:val>
        </c:ser>
        <c:ser>
          <c:idx val="2"/>
          <c:order val="3"/>
          <c:tx>
            <c:v>Wykształcenie wyższe</c:v>
          </c:tx>
          <c:val>
            <c:numRef>
              <c:f>Zbiorczy!$I$12:$J$12</c:f>
              <c:numCache>
                <c:formatCode>0%</c:formatCode>
                <c:ptCount val="2"/>
                <c:pt idx="0">
                  <c:v>0.59292035398230059</c:v>
                </c:pt>
                <c:pt idx="1">
                  <c:v>0.4070796460176993</c:v>
                </c:pt>
              </c:numCache>
            </c:numRef>
          </c:val>
        </c:ser>
        <c:ser>
          <c:idx val="3"/>
          <c:order val="4"/>
          <c:tx>
            <c:v>Wykształcenie średnie i policealne</c:v>
          </c:tx>
          <c:val>
            <c:numRef>
              <c:f>Zbiorczy!$L$12:$M$12</c:f>
              <c:numCache>
                <c:formatCode>0%</c:formatCode>
                <c:ptCount val="2"/>
                <c:pt idx="0">
                  <c:v>0.22727272727272727</c:v>
                </c:pt>
                <c:pt idx="1">
                  <c:v>0.77272727272727415</c:v>
                </c:pt>
              </c:numCache>
            </c:numRef>
          </c:val>
        </c:ser>
        <c:ser>
          <c:idx val="4"/>
          <c:order val="5"/>
          <c:tx>
            <c:v>Wykształcenie zasadnicze zawodowe i poniżej</c:v>
          </c:tx>
          <c:val>
            <c:numRef>
              <c:f>Zbiorczy!$O$12:$P$12</c:f>
              <c:numCache>
                <c:formatCode>0%</c:formatCode>
                <c:ptCount val="2"/>
                <c:pt idx="0">
                  <c:v>0.28571428571428653</c:v>
                </c:pt>
                <c:pt idx="1">
                  <c:v>0.71428571428571463</c:v>
                </c:pt>
              </c:numCache>
            </c:numRef>
          </c:val>
        </c:ser>
        <c:ser>
          <c:idx val="10"/>
          <c:order val="6"/>
          <c:val>
            <c:numLit>
              <c:formatCode>General</c:formatCode>
              <c:ptCount val="1"/>
              <c:pt idx="0">
                <c:v>0</c:v>
              </c:pt>
            </c:numLit>
          </c:val>
        </c:ser>
        <c:ser>
          <c:idx val="5"/>
          <c:order val="7"/>
          <c:tx>
            <c:v>Wiek: 18-29</c:v>
          </c:tx>
          <c:val>
            <c:numRef>
              <c:f>Zbiorczy!$R$12:$S$12</c:f>
              <c:numCache>
                <c:formatCode>0%</c:formatCode>
                <c:ptCount val="2"/>
                <c:pt idx="0">
                  <c:v>0.38554216867469987</c:v>
                </c:pt>
                <c:pt idx="1">
                  <c:v>0.61445783132530163</c:v>
                </c:pt>
              </c:numCache>
            </c:numRef>
          </c:val>
        </c:ser>
        <c:ser>
          <c:idx val="6"/>
          <c:order val="8"/>
          <c:tx>
            <c:v>Wiek: 30-39</c:v>
          </c:tx>
          <c:val>
            <c:numRef>
              <c:f>Zbiorczy!$U$12:$V$12</c:f>
              <c:numCache>
                <c:formatCode>0%</c:formatCode>
                <c:ptCount val="2"/>
                <c:pt idx="0">
                  <c:v>0.13013698630136991</c:v>
                </c:pt>
                <c:pt idx="1">
                  <c:v>0.86986301369863195</c:v>
                </c:pt>
              </c:numCache>
            </c:numRef>
          </c:val>
        </c:ser>
        <c:ser>
          <c:idx val="7"/>
          <c:order val="9"/>
          <c:tx>
            <c:v>Wiek: 40-59</c:v>
          </c:tx>
          <c:val>
            <c:numRef>
              <c:f>Zbiorczy!$X$12:$Y$12</c:f>
              <c:numCache>
                <c:formatCode>0%</c:formatCode>
                <c:ptCount val="2"/>
                <c:pt idx="0">
                  <c:v>0.41137123745819393</c:v>
                </c:pt>
                <c:pt idx="1">
                  <c:v>0.58862876254180663</c:v>
                </c:pt>
              </c:numCache>
            </c:numRef>
          </c:val>
        </c:ser>
        <c:ser>
          <c:idx val="8"/>
          <c:order val="10"/>
          <c:tx>
            <c:v>Wiek: 60 i powyżej</c:v>
          </c:tx>
          <c:val>
            <c:numRef>
              <c:f>Zbiorczy!$AA$12:$AB$12</c:f>
              <c:numCache>
                <c:formatCode>0%</c:formatCode>
                <c:ptCount val="2"/>
                <c:pt idx="0">
                  <c:v>0.1949152542372885</c:v>
                </c:pt>
                <c:pt idx="1">
                  <c:v>0.80508474576271005</c:v>
                </c:pt>
              </c:numCache>
            </c:numRef>
          </c:val>
        </c:ser>
        <c:gapWidth val="136"/>
        <c:overlap val="-15"/>
        <c:axId val="117916032"/>
        <c:axId val="117917568"/>
      </c:barChart>
      <c:catAx>
        <c:axId val="117916032"/>
        <c:scaling>
          <c:orientation val="minMax"/>
        </c:scaling>
        <c:axPos val="b"/>
        <c:majorGridlines/>
        <c:tickLblPos val="nextTo"/>
        <c:crossAx val="117917568"/>
        <c:crosses val="autoZero"/>
        <c:auto val="1"/>
        <c:lblAlgn val="ctr"/>
        <c:lblOffset val="100"/>
      </c:catAx>
      <c:valAx>
        <c:axId val="117917568"/>
        <c:scaling>
          <c:orientation val="minMax"/>
        </c:scaling>
        <c:axPos val="l"/>
        <c:numFmt formatCode="0%" sourceLinked="1"/>
        <c:tickLblPos val="nextTo"/>
        <c:txPr>
          <a:bodyPr/>
          <a:lstStyle/>
          <a:p>
            <a:pPr>
              <a:defRPr sz="800"/>
            </a:pPr>
            <a:endParaRPr lang="pl-PL"/>
          </a:p>
        </c:txPr>
        <c:crossAx val="117916032"/>
        <c:crosses val="autoZero"/>
        <c:crossBetween val="between"/>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1.8701580481772864E-2"/>
          <c:y val="0.75711310741246407"/>
          <c:w val="0.97810396573118208"/>
          <c:h val="0.22264645101653771"/>
        </c:manualLayout>
      </c:layout>
      <c:txPr>
        <a:bodyPr/>
        <a:lstStyle/>
        <a:p>
          <a:pPr>
            <a:defRPr sz="900" baseline="0"/>
          </a:pPr>
          <a:endParaRPr lang="pl-PL"/>
        </a:p>
      </c:txPr>
    </c:legend>
    <c:plotVisOnly val="1"/>
  </c:chart>
  <c:spPr>
    <a:solidFill>
      <a:sysClr val="window" lastClr="FFFFFF">
        <a:lumMod val="95000"/>
      </a:sysClr>
    </a:solidFill>
    <a:ln>
      <a:noFill/>
    </a:ln>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6.3327844574931902E-2"/>
          <c:y val="3.5884597717109896E-2"/>
          <c:w val="0.90714656633461477"/>
          <c:h val="0.67895677137111465"/>
        </c:manualLayout>
      </c:layout>
      <c:barChart>
        <c:barDir val="col"/>
        <c:grouping val="clustered"/>
        <c:ser>
          <c:idx val="0"/>
          <c:order val="0"/>
          <c:tx>
            <c:v>Mężczyźni</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Zbiorczy!$E$12</c:f>
              <c:numCache>
                <c:formatCode>General</c:formatCode>
                <c:ptCount val="1"/>
                <c:pt idx="0">
                  <c:v>4.0816326530612352</c:v>
                </c:pt>
              </c:numCache>
            </c:numRef>
          </c:val>
        </c:ser>
        <c:ser>
          <c:idx val="1"/>
          <c:order val="1"/>
          <c:tx>
            <c:v>Kobiety</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Zbiorczy!$H$12</c:f>
              <c:numCache>
                <c:formatCode>General</c:formatCode>
                <c:ptCount val="1"/>
                <c:pt idx="0">
                  <c:v>3.7722772277227752</c:v>
                </c:pt>
              </c:numCache>
            </c:numRef>
          </c:val>
        </c:ser>
        <c:ser>
          <c:idx val="9"/>
          <c:order val="2"/>
          <c:val>
            <c:numLit>
              <c:formatCode>General</c:formatCode>
              <c:ptCount val="1"/>
              <c:pt idx="0">
                <c:v>0</c:v>
              </c:pt>
            </c:numLit>
          </c:val>
        </c:ser>
        <c:ser>
          <c:idx val="2"/>
          <c:order val="3"/>
          <c:tx>
            <c:v>Wykształcenie wyższe</c:v>
          </c:tx>
          <c:val>
            <c:numRef>
              <c:f>Zbiorczy!$K$12</c:f>
              <c:numCache>
                <c:formatCode>General</c:formatCode>
                <c:ptCount val="1"/>
                <c:pt idx="0">
                  <c:v>4.1538461538461542</c:v>
                </c:pt>
              </c:numCache>
            </c:numRef>
          </c:val>
        </c:ser>
        <c:ser>
          <c:idx val="3"/>
          <c:order val="4"/>
          <c:tx>
            <c:v>Wykształcenie średnie i policealne</c:v>
          </c:tx>
          <c:val>
            <c:numRef>
              <c:f>Zbiorczy!$N$12</c:f>
              <c:numCache>
                <c:formatCode>General</c:formatCode>
                <c:ptCount val="1"/>
                <c:pt idx="0">
                  <c:v>3.9545454545454537</c:v>
                </c:pt>
              </c:numCache>
            </c:numRef>
          </c:val>
        </c:ser>
        <c:ser>
          <c:idx val="4"/>
          <c:order val="5"/>
          <c:tx>
            <c:v>Wykształcenie zasadnicze zawodowe i poniżej</c:v>
          </c:tx>
          <c:val>
            <c:numRef>
              <c:f>Zbiorczy!$Q$12</c:f>
              <c:numCache>
                <c:formatCode>General</c:formatCode>
                <c:ptCount val="1"/>
                <c:pt idx="0">
                  <c:v>3.8490566037735769</c:v>
                </c:pt>
              </c:numCache>
            </c:numRef>
          </c:val>
        </c:ser>
        <c:ser>
          <c:idx val="10"/>
          <c:order val="6"/>
          <c:val>
            <c:numLit>
              <c:formatCode>General</c:formatCode>
              <c:ptCount val="1"/>
              <c:pt idx="0">
                <c:v>0</c:v>
              </c:pt>
            </c:numLit>
          </c:val>
        </c:ser>
        <c:ser>
          <c:idx val="5"/>
          <c:order val="7"/>
          <c:tx>
            <c:v>Wiek: 18-29</c:v>
          </c:tx>
          <c:val>
            <c:numRef>
              <c:f>Zbiorczy!$T$12</c:f>
              <c:numCache>
                <c:formatCode>General</c:formatCode>
                <c:ptCount val="1"/>
                <c:pt idx="0">
                  <c:v>3.82</c:v>
                </c:pt>
              </c:numCache>
            </c:numRef>
          </c:val>
        </c:ser>
        <c:ser>
          <c:idx val="6"/>
          <c:order val="8"/>
          <c:tx>
            <c:v>Wiek: 30-39</c:v>
          </c:tx>
          <c:val>
            <c:numRef>
              <c:f>Zbiorczy!$W$12</c:f>
              <c:numCache>
                <c:formatCode>General</c:formatCode>
                <c:ptCount val="1"/>
                <c:pt idx="0">
                  <c:v>4.0256410256410362</c:v>
                </c:pt>
              </c:numCache>
            </c:numRef>
          </c:val>
        </c:ser>
        <c:ser>
          <c:idx val="7"/>
          <c:order val="9"/>
          <c:tx>
            <c:v>Wiek: 40-59</c:v>
          </c:tx>
          <c:val>
            <c:numRef>
              <c:f>Zbiorczy!$Z$12</c:f>
              <c:numCache>
                <c:formatCode>General</c:formatCode>
                <c:ptCount val="1"/>
                <c:pt idx="0">
                  <c:v>4.1199999999999966</c:v>
                </c:pt>
              </c:numCache>
            </c:numRef>
          </c:val>
        </c:ser>
        <c:ser>
          <c:idx val="8"/>
          <c:order val="10"/>
          <c:tx>
            <c:v>Wiek: 60 i powyżej</c:v>
          </c:tx>
          <c:val>
            <c:numRef>
              <c:f>Zbiorczy!$AC$12</c:f>
              <c:numCache>
                <c:formatCode>General</c:formatCode>
                <c:ptCount val="1"/>
                <c:pt idx="0">
                  <c:v>3.5428571428571431</c:v>
                </c:pt>
              </c:numCache>
            </c:numRef>
          </c:val>
        </c:ser>
        <c:axId val="117968256"/>
        <c:axId val="117986432"/>
      </c:barChart>
      <c:catAx>
        <c:axId val="117968256"/>
        <c:scaling>
          <c:orientation val="minMax"/>
        </c:scaling>
        <c:delete val="1"/>
        <c:axPos val="b"/>
        <c:tickLblPos val="none"/>
        <c:crossAx val="117986432"/>
        <c:crosses val="autoZero"/>
        <c:auto val="1"/>
        <c:lblAlgn val="ctr"/>
        <c:lblOffset val="100"/>
      </c:catAx>
      <c:valAx>
        <c:axId val="117986432"/>
        <c:scaling>
          <c:orientation val="minMax"/>
          <c:max val="5"/>
        </c:scaling>
        <c:axPos val="l"/>
        <c:numFmt formatCode="General" sourceLinked="1"/>
        <c:tickLblPos val="nextTo"/>
        <c:txPr>
          <a:bodyPr/>
          <a:lstStyle/>
          <a:p>
            <a:pPr>
              <a:defRPr sz="800"/>
            </a:pPr>
            <a:endParaRPr lang="pl-PL"/>
          </a:p>
        </c:txPr>
        <c:crossAx val="117968256"/>
        <c:crosses val="autoZero"/>
        <c:crossBetween val="between"/>
        <c:majorUnit val="1"/>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1.7914698996083601E-2"/>
          <c:y val="0.75711310741246407"/>
          <c:w val="0.98040301775733141"/>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0.10205492262179947"/>
          <c:y val="4.8482972308136536E-2"/>
          <c:w val="0.86794761760689876"/>
          <c:h val="0.59844333912676495"/>
        </c:manualLayout>
      </c:layout>
      <c:barChart>
        <c:barDir val="col"/>
        <c:grouping val="clustered"/>
        <c:ser>
          <c:idx val="0"/>
          <c:order val="0"/>
          <c:tx>
            <c:v>Mężczyźni</c:v>
          </c:tx>
          <c:dLbls>
            <c:txPr>
              <a:bodyPr rot="-5400000" vert="horz"/>
              <a:lstStyle/>
              <a:p>
                <a:pPr>
                  <a:defRPr/>
                </a:pPr>
                <a:endParaRPr lang="pl-PL"/>
              </a:p>
            </c:txPr>
            <c:showSerName val="1"/>
          </c:dLbls>
          <c:cat>
            <c:strRef>
              <c:f>Zbiorczy!$C$20:$D$20</c:f>
              <c:strCache>
                <c:ptCount val="2"/>
                <c:pt idx="0">
                  <c:v>NIE</c:v>
                </c:pt>
                <c:pt idx="1">
                  <c:v>TAK</c:v>
                </c:pt>
              </c:strCache>
            </c:strRef>
          </c:cat>
          <c:val>
            <c:numRef>
              <c:f>Zbiorczy!$C$13:$D$13</c:f>
              <c:numCache>
                <c:formatCode>0%</c:formatCode>
                <c:ptCount val="2"/>
                <c:pt idx="0">
                  <c:v>5.5172413793103482E-2</c:v>
                </c:pt>
                <c:pt idx="1">
                  <c:v>0.94482758620689777</c:v>
                </c:pt>
              </c:numCache>
            </c:numRef>
          </c:val>
        </c:ser>
        <c:ser>
          <c:idx val="1"/>
          <c:order val="1"/>
          <c:tx>
            <c:v>Kobiety</c:v>
          </c:tx>
          <c:dLbls>
            <c:txPr>
              <a:bodyPr rot="-5400000" vert="horz"/>
              <a:lstStyle/>
              <a:p>
                <a:pPr>
                  <a:defRPr/>
                </a:pPr>
                <a:endParaRPr lang="pl-PL"/>
              </a:p>
            </c:txPr>
            <c:showSerName val="1"/>
          </c:dLbls>
          <c:val>
            <c:numRef>
              <c:f>Zbiorczy!$F$13:$G$13</c:f>
              <c:numCache>
                <c:formatCode>0%</c:formatCode>
                <c:ptCount val="2"/>
                <c:pt idx="0">
                  <c:v>5.5427251732101758E-2</c:v>
                </c:pt>
                <c:pt idx="1">
                  <c:v>0.94457274826789839</c:v>
                </c:pt>
              </c:numCache>
            </c:numRef>
          </c:val>
        </c:ser>
        <c:ser>
          <c:idx val="9"/>
          <c:order val="2"/>
          <c:val>
            <c:numLit>
              <c:formatCode>General</c:formatCode>
              <c:ptCount val="1"/>
              <c:pt idx="0">
                <c:v>0</c:v>
              </c:pt>
            </c:numLit>
          </c:val>
        </c:ser>
        <c:ser>
          <c:idx val="2"/>
          <c:order val="3"/>
          <c:tx>
            <c:v>Wykształcenie wyższe</c:v>
          </c:tx>
          <c:val>
            <c:numRef>
              <c:f>Zbiorczy!$I$13:$J$13</c:f>
              <c:numCache>
                <c:formatCode>0%</c:formatCode>
                <c:ptCount val="2"/>
                <c:pt idx="0">
                  <c:v>0.18181818181818232</c:v>
                </c:pt>
                <c:pt idx="1">
                  <c:v>0.81818181818181956</c:v>
                </c:pt>
              </c:numCache>
            </c:numRef>
          </c:val>
        </c:ser>
        <c:ser>
          <c:idx val="3"/>
          <c:order val="4"/>
          <c:tx>
            <c:v>Wykształcenie średnie i policealne</c:v>
          </c:tx>
          <c:val>
            <c:numRef>
              <c:f>Zbiorczy!$L$13:$M$13</c:f>
              <c:numCache>
                <c:formatCode>0%</c:formatCode>
                <c:ptCount val="2"/>
                <c:pt idx="0">
                  <c:v>1.7421602787456445E-2</c:v>
                </c:pt>
                <c:pt idx="1">
                  <c:v>0.98257839721254359</c:v>
                </c:pt>
              </c:numCache>
            </c:numRef>
          </c:val>
        </c:ser>
        <c:ser>
          <c:idx val="4"/>
          <c:order val="5"/>
          <c:tx>
            <c:v>Wykształcenie zasadnicze zawodowe i poniżej</c:v>
          </c:tx>
          <c:val>
            <c:numRef>
              <c:f>Zbiorczy!$O$13:$P$13</c:f>
              <c:numCache>
                <c:formatCode>0%</c:formatCode>
                <c:ptCount val="2"/>
                <c:pt idx="0">
                  <c:v>4.9250535331905793E-2</c:v>
                </c:pt>
                <c:pt idx="1">
                  <c:v>0.9507494646680974</c:v>
                </c:pt>
              </c:numCache>
            </c:numRef>
          </c:val>
        </c:ser>
        <c:ser>
          <c:idx val="10"/>
          <c:order val="6"/>
          <c:val>
            <c:numLit>
              <c:formatCode>General</c:formatCode>
              <c:ptCount val="1"/>
              <c:pt idx="0">
                <c:v>0</c:v>
              </c:pt>
            </c:numLit>
          </c:val>
        </c:ser>
        <c:ser>
          <c:idx val="5"/>
          <c:order val="7"/>
          <c:tx>
            <c:v>Wiek: 18-29</c:v>
          </c:tx>
          <c:val>
            <c:numRef>
              <c:f>Zbiorczy!$R$13:$S$13</c:f>
              <c:numCache>
                <c:formatCode>0%</c:formatCode>
                <c:ptCount val="2"/>
                <c:pt idx="0">
                  <c:v>6.6350710900473939E-2</c:v>
                </c:pt>
                <c:pt idx="1">
                  <c:v>0.93364928909952771</c:v>
                </c:pt>
              </c:numCache>
            </c:numRef>
          </c:val>
        </c:ser>
        <c:ser>
          <c:idx val="6"/>
          <c:order val="8"/>
          <c:tx>
            <c:v>Wiek: 30-39</c:v>
          </c:tx>
          <c:val>
            <c:numRef>
              <c:f>Zbiorczy!$U$13:$V$13</c:f>
              <c:numCache>
                <c:formatCode>0%</c:formatCode>
                <c:ptCount val="2"/>
                <c:pt idx="0">
                  <c:v>5.8823529411764705E-2</c:v>
                </c:pt>
                <c:pt idx="1">
                  <c:v>0.94117647058823561</c:v>
                </c:pt>
              </c:numCache>
            </c:numRef>
          </c:val>
        </c:ser>
        <c:ser>
          <c:idx val="7"/>
          <c:order val="9"/>
          <c:tx>
            <c:v>Wiek: 40-59</c:v>
          </c:tx>
          <c:val>
            <c:numRef>
              <c:f>Zbiorczy!$X$13:$Y$13</c:f>
              <c:numCache>
                <c:formatCode>0%</c:formatCode>
                <c:ptCount val="2"/>
                <c:pt idx="0">
                  <c:v>2.9761904761904791E-2</c:v>
                </c:pt>
                <c:pt idx="1">
                  <c:v>0.97023809523809657</c:v>
                </c:pt>
              </c:numCache>
            </c:numRef>
          </c:val>
        </c:ser>
        <c:ser>
          <c:idx val="8"/>
          <c:order val="10"/>
          <c:tx>
            <c:v>Wiek: 60 i powyżej</c:v>
          </c:tx>
          <c:val>
            <c:numRef>
              <c:f>Zbiorczy!$AA$13:$AB$13</c:f>
              <c:numCache>
                <c:formatCode>0%</c:formatCode>
                <c:ptCount val="2"/>
                <c:pt idx="0">
                  <c:v>9.2715231788079527E-2</c:v>
                </c:pt>
                <c:pt idx="1">
                  <c:v>0.90728476821191906</c:v>
                </c:pt>
              </c:numCache>
            </c:numRef>
          </c:val>
        </c:ser>
        <c:gapWidth val="136"/>
        <c:overlap val="-15"/>
        <c:axId val="118037120"/>
        <c:axId val="118055296"/>
      </c:barChart>
      <c:catAx>
        <c:axId val="118037120"/>
        <c:scaling>
          <c:orientation val="minMax"/>
        </c:scaling>
        <c:axPos val="b"/>
        <c:majorGridlines/>
        <c:tickLblPos val="nextTo"/>
        <c:crossAx val="118055296"/>
        <c:crosses val="autoZero"/>
        <c:auto val="1"/>
        <c:lblAlgn val="ctr"/>
        <c:lblOffset val="100"/>
      </c:catAx>
      <c:valAx>
        <c:axId val="118055296"/>
        <c:scaling>
          <c:orientation val="minMax"/>
          <c:max val="1"/>
        </c:scaling>
        <c:axPos val="l"/>
        <c:numFmt formatCode="0%" sourceLinked="1"/>
        <c:tickLblPos val="nextTo"/>
        <c:txPr>
          <a:bodyPr/>
          <a:lstStyle/>
          <a:p>
            <a:pPr>
              <a:defRPr sz="800"/>
            </a:pPr>
            <a:endParaRPr lang="pl-PL"/>
          </a:p>
        </c:txPr>
        <c:crossAx val="118037120"/>
        <c:crosses val="autoZero"/>
        <c:crossBetween val="between"/>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7.9915208325594227E-3"/>
          <c:y val="0.75711310741246407"/>
          <c:w val="0.98899992935458669"/>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6.3044500094050729E-2"/>
          <c:y val="4.9209322084347674E-2"/>
          <c:w val="0.90756201562294181"/>
          <c:h val="0.67510293625015139"/>
        </c:manualLayout>
      </c:layout>
      <c:barChart>
        <c:barDir val="col"/>
        <c:grouping val="clustered"/>
        <c:ser>
          <c:idx val="0"/>
          <c:order val="0"/>
          <c:tx>
            <c:v>Mężczyźni</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Zbiorczy!$E$13</c:f>
              <c:numCache>
                <c:formatCode>General</c:formatCode>
                <c:ptCount val="1"/>
                <c:pt idx="0">
                  <c:v>4.4897959183673484</c:v>
                </c:pt>
              </c:numCache>
            </c:numRef>
          </c:val>
        </c:ser>
        <c:ser>
          <c:idx val="1"/>
          <c:order val="1"/>
          <c:tx>
            <c:v>Kobiety</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Zbiorczy!$H$13</c:f>
              <c:numCache>
                <c:formatCode>General</c:formatCode>
                <c:ptCount val="1"/>
                <c:pt idx="0">
                  <c:v>4.3663366336633684</c:v>
                </c:pt>
              </c:numCache>
            </c:numRef>
          </c:val>
        </c:ser>
        <c:ser>
          <c:idx val="9"/>
          <c:order val="2"/>
          <c:val>
            <c:numLit>
              <c:formatCode>General</c:formatCode>
              <c:ptCount val="1"/>
              <c:pt idx="0">
                <c:v>0</c:v>
              </c:pt>
            </c:numLit>
          </c:val>
        </c:ser>
        <c:ser>
          <c:idx val="2"/>
          <c:order val="3"/>
          <c:tx>
            <c:v>Wykształcenie wyższe</c:v>
          </c:tx>
          <c:val>
            <c:numRef>
              <c:f>Zbiorczy!$K$13</c:f>
              <c:numCache>
                <c:formatCode>General</c:formatCode>
                <c:ptCount val="1"/>
                <c:pt idx="0">
                  <c:v>4.3461538461538458</c:v>
                </c:pt>
              </c:numCache>
            </c:numRef>
          </c:val>
        </c:ser>
        <c:ser>
          <c:idx val="3"/>
          <c:order val="4"/>
          <c:tx>
            <c:v>Wykształcenie średnie i policealne</c:v>
          </c:tx>
          <c:val>
            <c:numRef>
              <c:f>Zbiorczy!$N$13</c:f>
              <c:numCache>
                <c:formatCode>General</c:formatCode>
                <c:ptCount val="1"/>
                <c:pt idx="0">
                  <c:v>4.5</c:v>
                </c:pt>
              </c:numCache>
            </c:numRef>
          </c:val>
        </c:ser>
        <c:ser>
          <c:idx val="4"/>
          <c:order val="5"/>
          <c:tx>
            <c:v>Wykształcenie zasadnicze zawodowe i poniżej</c:v>
          </c:tx>
          <c:val>
            <c:numRef>
              <c:f>Zbiorczy!$Q$13</c:f>
              <c:numCache>
                <c:formatCode>General</c:formatCode>
                <c:ptCount val="1"/>
                <c:pt idx="0">
                  <c:v>4.4056603773584895</c:v>
                </c:pt>
              </c:numCache>
            </c:numRef>
          </c:val>
        </c:ser>
        <c:ser>
          <c:idx val="10"/>
          <c:order val="6"/>
          <c:val>
            <c:numLit>
              <c:formatCode>General</c:formatCode>
              <c:ptCount val="1"/>
              <c:pt idx="0">
                <c:v>0</c:v>
              </c:pt>
            </c:numLit>
          </c:val>
        </c:ser>
        <c:ser>
          <c:idx val="5"/>
          <c:order val="7"/>
          <c:tx>
            <c:v>Wiek: 18-29</c:v>
          </c:tx>
          <c:val>
            <c:numRef>
              <c:f>Zbiorczy!$T$13</c:f>
              <c:numCache>
                <c:formatCode>General</c:formatCode>
                <c:ptCount val="1"/>
                <c:pt idx="0">
                  <c:v>4.3199999999999985</c:v>
                </c:pt>
              </c:numCache>
            </c:numRef>
          </c:val>
        </c:ser>
        <c:ser>
          <c:idx val="6"/>
          <c:order val="8"/>
          <c:tx>
            <c:v>Wiek: 30-39</c:v>
          </c:tx>
          <c:val>
            <c:numRef>
              <c:f>Zbiorczy!$W$13</c:f>
              <c:numCache>
                <c:formatCode>General</c:formatCode>
                <c:ptCount val="1"/>
                <c:pt idx="0">
                  <c:v>4.3589743589743479</c:v>
                </c:pt>
              </c:numCache>
            </c:numRef>
          </c:val>
        </c:ser>
        <c:ser>
          <c:idx val="7"/>
          <c:order val="9"/>
          <c:tx>
            <c:v>Wiek: 40-59</c:v>
          </c:tx>
          <c:val>
            <c:numRef>
              <c:f>Zbiorczy!$Z$13</c:f>
              <c:numCache>
                <c:formatCode>General</c:formatCode>
                <c:ptCount val="1"/>
                <c:pt idx="0">
                  <c:v>4.5866666666666704</c:v>
                </c:pt>
              </c:numCache>
            </c:numRef>
          </c:val>
        </c:ser>
        <c:ser>
          <c:idx val="8"/>
          <c:order val="10"/>
          <c:tx>
            <c:v>Wiek: 60 i powyżej</c:v>
          </c:tx>
          <c:val>
            <c:numRef>
              <c:f>Zbiorczy!$AC$13</c:f>
              <c:numCache>
                <c:formatCode>General</c:formatCode>
                <c:ptCount val="1"/>
                <c:pt idx="0">
                  <c:v>4.3142857142857016</c:v>
                </c:pt>
              </c:numCache>
            </c:numRef>
          </c:val>
        </c:ser>
        <c:axId val="118118272"/>
        <c:axId val="118119808"/>
      </c:barChart>
      <c:catAx>
        <c:axId val="118118272"/>
        <c:scaling>
          <c:orientation val="minMax"/>
        </c:scaling>
        <c:delete val="1"/>
        <c:axPos val="b"/>
        <c:tickLblPos val="none"/>
        <c:crossAx val="118119808"/>
        <c:crosses val="autoZero"/>
        <c:auto val="1"/>
        <c:lblAlgn val="ctr"/>
        <c:lblOffset val="100"/>
      </c:catAx>
      <c:valAx>
        <c:axId val="118119808"/>
        <c:scaling>
          <c:orientation val="minMax"/>
        </c:scaling>
        <c:axPos val="l"/>
        <c:numFmt formatCode="General" sourceLinked="1"/>
        <c:tickLblPos val="nextTo"/>
        <c:txPr>
          <a:bodyPr/>
          <a:lstStyle/>
          <a:p>
            <a:pPr>
              <a:defRPr sz="800"/>
            </a:pPr>
            <a:endParaRPr lang="pl-PL"/>
          </a:p>
        </c:txPr>
        <c:crossAx val="118118272"/>
        <c:crosses val="autoZero"/>
        <c:crossBetween val="between"/>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1.8039435661934118E-2"/>
          <c:y val="0.75711310741246407"/>
          <c:w val="0.96779740756622379"/>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7404894804460065E-2"/>
          <c:y val="3.7326387294332887E-2"/>
          <c:w val="0.88378175527132707"/>
          <c:h val="0.60757512578367967"/>
        </c:manualLayout>
      </c:layout>
      <c:barChart>
        <c:barDir val="col"/>
        <c:grouping val="clustered"/>
        <c:ser>
          <c:idx val="0"/>
          <c:order val="0"/>
          <c:tx>
            <c:v>Mężczyźni</c:v>
          </c:tx>
          <c:dLbls>
            <c:txPr>
              <a:bodyPr rot="-5400000" vert="horz"/>
              <a:lstStyle/>
              <a:p>
                <a:pPr>
                  <a:defRPr/>
                </a:pPr>
                <a:endParaRPr lang="pl-PL"/>
              </a:p>
            </c:txPr>
            <c:showSerName val="1"/>
          </c:dLbls>
          <c:cat>
            <c:strRef>
              <c:f>Zbiorczy!$C$20:$D$20</c:f>
              <c:strCache>
                <c:ptCount val="2"/>
                <c:pt idx="0">
                  <c:v>NIE</c:v>
                </c:pt>
                <c:pt idx="1">
                  <c:v>TAK</c:v>
                </c:pt>
              </c:strCache>
            </c:strRef>
          </c:cat>
          <c:val>
            <c:numRef>
              <c:f>Zbiorczy!$C$14:$D$14</c:f>
              <c:numCache>
                <c:formatCode>0%</c:formatCode>
                <c:ptCount val="2"/>
                <c:pt idx="0">
                  <c:v>0.26302083333333331</c:v>
                </c:pt>
                <c:pt idx="1">
                  <c:v>0.73697916666666663</c:v>
                </c:pt>
              </c:numCache>
            </c:numRef>
          </c:val>
        </c:ser>
        <c:ser>
          <c:idx val="1"/>
          <c:order val="1"/>
          <c:tx>
            <c:v>Kobiety</c:v>
          </c:tx>
          <c:dLbls>
            <c:txPr>
              <a:bodyPr rot="-5400000" vert="horz"/>
              <a:lstStyle/>
              <a:p>
                <a:pPr>
                  <a:defRPr/>
                </a:pPr>
                <a:endParaRPr lang="pl-PL"/>
              </a:p>
            </c:txPr>
            <c:showSerName val="1"/>
          </c:dLbls>
          <c:val>
            <c:numRef>
              <c:f>Zbiorczy!$F$14:$G$14</c:f>
              <c:numCache>
                <c:formatCode>0%</c:formatCode>
                <c:ptCount val="2"/>
                <c:pt idx="0">
                  <c:v>0.33163265306122447</c:v>
                </c:pt>
                <c:pt idx="1">
                  <c:v>0.66836734693877564</c:v>
                </c:pt>
              </c:numCache>
            </c:numRef>
          </c:val>
        </c:ser>
        <c:ser>
          <c:idx val="9"/>
          <c:order val="2"/>
          <c:val>
            <c:numLit>
              <c:formatCode>General</c:formatCode>
              <c:ptCount val="1"/>
              <c:pt idx="0">
                <c:v>0</c:v>
              </c:pt>
            </c:numLit>
          </c:val>
        </c:ser>
        <c:ser>
          <c:idx val="2"/>
          <c:order val="3"/>
          <c:tx>
            <c:v>Wykształcenie wyższe</c:v>
          </c:tx>
          <c:val>
            <c:numRef>
              <c:f>Zbiorczy!$I$14:$J$14</c:f>
              <c:numCache>
                <c:formatCode>0%</c:formatCode>
                <c:ptCount val="2"/>
                <c:pt idx="0">
                  <c:v>0.48571428571428676</c:v>
                </c:pt>
                <c:pt idx="1">
                  <c:v>0.51428571428571423</c:v>
                </c:pt>
              </c:numCache>
            </c:numRef>
          </c:val>
        </c:ser>
        <c:ser>
          <c:idx val="3"/>
          <c:order val="4"/>
          <c:tx>
            <c:v>Wykształcenie średnie i policealne</c:v>
          </c:tx>
          <c:val>
            <c:numRef>
              <c:f>Zbiorczy!$L$14:$M$14</c:f>
              <c:numCache>
                <c:formatCode>0%</c:formatCode>
                <c:ptCount val="2"/>
                <c:pt idx="0">
                  <c:v>0.30672268907563138</c:v>
                </c:pt>
                <c:pt idx="1">
                  <c:v>0.69327731092436951</c:v>
                </c:pt>
              </c:numCache>
            </c:numRef>
          </c:val>
        </c:ser>
        <c:ser>
          <c:idx val="4"/>
          <c:order val="5"/>
          <c:tx>
            <c:v>Wykształcenie zasadnicze zawodowe i poniżej</c:v>
          </c:tx>
          <c:val>
            <c:numRef>
              <c:f>Zbiorczy!$O$14:$P$14</c:f>
              <c:numCache>
                <c:formatCode>0%</c:formatCode>
                <c:ptCount val="2"/>
                <c:pt idx="0">
                  <c:v>0.24941724941725021</c:v>
                </c:pt>
                <c:pt idx="1">
                  <c:v>0.75058275058275059</c:v>
                </c:pt>
              </c:numCache>
            </c:numRef>
          </c:val>
        </c:ser>
        <c:ser>
          <c:idx val="10"/>
          <c:order val="6"/>
          <c:val>
            <c:numLit>
              <c:formatCode>General</c:formatCode>
              <c:ptCount val="1"/>
              <c:pt idx="0">
                <c:v>0</c:v>
              </c:pt>
            </c:numLit>
          </c:val>
        </c:ser>
        <c:ser>
          <c:idx val="5"/>
          <c:order val="7"/>
          <c:tx>
            <c:v>Wiek: 18-29</c:v>
          </c:tx>
          <c:val>
            <c:numRef>
              <c:f>Zbiorczy!$R$14:$S$14</c:f>
              <c:numCache>
                <c:formatCode>0%</c:formatCode>
                <c:ptCount val="2"/>
                <c:pt idx="0">
                  <c:v>0.31550802139037537</c:v>
                </c:pt>
                <c:pt idx="1">
                  <c:v>0.68449197860962563</c:v>
                </c:pt>
              </c:numCache>
            </c:numRef>
          </c:val>
        </c:ser>
        <c:ser>
          <c:idx val="6"/>
          <c:order val="8"/>
          <c:tx>
            <c:v>Wiek: 30-39</c:v>
          </c:tx>
          <c:val>
            <c:numRef>
              <c:f>Zbiorczy!$U$14:$V$14</c:f>
              <c:numCache>
                <c:formatCode>0%</c:formatCode>
                <c:ptCount val="2"/>
                <c:pt idx="0">
                  <c:v>0.26</c:v>
                </c:pt>
                <c:pt idx="1">
                  <c:v>0.74000000000000121</c:v>
                </c:pt>
              </c:numCache>
            </c:numRef>
          </c:val>
        </c:ser>
        <c:ser>
          <c:idx val="7"/>
          <c:order val="9"/>
          <c:tx>
            <c:v>Wiek: 40-59</c:v>
          </c:tx>
          <c:val>
            <c:numRef>
              <c:f>Zbiorczy!$X$14:$Y$14</c:f>
              <c:numCache>
                <c:formatCode>0%</c:formatCode>
                <c:ptCount val="2"/>
                <c:pt idx="0">
                  <c:v>0.30769230769230782</c:v>
                </c:pt>
                <c:pt idx="1">
                  <c:v>0.69230769230769262</c:v>
                </c:pt>
              </c:numCache>
            </c:numRef>
          </c:val>
        </c:ser>
        <c:ser>
          <c:idx val="8"/>
          <c:order val="10"/>
          <c:tx>
            <c:v>Wiek: 60 i powyżej</c:v>
          </c:tx>
          <c:val>
            <c:numRef>
              <c:f>Zbiorczy!$AA$14:$AB$14</c:f>
              <c:numCache>
                <c:formatCode>0%</c:formatCode>
                <c:ptCount val="2"/>
                <c:pt idx="0">
                  <c:v>0.29285714285714287</c:v>
                </c:pt>
                <c:pt idx="1">
                  <c:v>0.70714285714285763</c:v>
                </c:pt>
              </c:numCache>
            </c:numRef>
          </c:val>
        </c:ser>
        <c:gapWidth val="136"/>
        <c:overlap val="-15"/>
        <c:axId val="118248576"/>
        <c:axId val="118250112"/>
      </c:barChart>
      <c:catAx>
        <c:axId val="118248576"/>
        <c:scaling>
          <c:orientation val="minMax"/>
        </c:scaling>
        <c:axPos val="b"/>
        <c:majorGridlines/>
        <c:tickLblPos val="nextTo"/>
        <c:crossAx val="118250112"/>
        <c:crosses val="autoZero"/>
        <c:auto val="1"/>
        <c:lblAlgn val="ctr"/>
        <c:lblOffset val="100"/>
      </c:catAx>
      <c:valAx>
        <c:axId val="118250112"/>
        <c:scaling>
          <c:orientation val="minMax"/>
        </c:scaling>
        <c:axPos val="l"/>
        <c:numFmt formatCode="0%" sourceLinked="1"/>
        <c:tickLblPos val="nextTo"/>
        <c:txPr>
          <a:bodyPr/>
          <a:lstStyle/>
          <a:p>
            <a:pPr>
              <a:defRPr sz="800"/>
            </a:pPr>
            <a:endParaRPr lang="pl-PL"/>
          </a:p>
        </c:txPr>
        <c:crossAx val="118248576"/>
        <c:crosses val="autoZero"/>
        <c:crossBetween val="between"/>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9.3551605287218835E-3"/>
          <c:y val="0.75711310741246407"/>
          <c:w val="0.97877774058373757"/>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6.2903783149213632E-2"/>
          <c:y val="2.4884258805696655E-2"/>
          <c:w val="0.90776833958029013"/>
          <c:h val="0.67836684021641069"/>
        </c:manualLayout>
      </c:layout>
      <c:barChart>
        <c:barDir val="col"/>
        <c:grouping val="clustered"/>
        <c:ser>
          <c:idx val="0"/>
          <c:order val="0"/>
          <c:tx>
            <c:v>Mężczyźni</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Zbiorczy!$E$14</c:f>
              <c:numCache>
                <c:formatCode>General</c:formatCode>
                <c:ptCount val="1"/>
                <c:pt idx="0">
                  <c:v>4.2142857142857055</c:v>
                </c:pt>
              </c:numCache>
            </c:numRef>
          </c:val>
        </c:ser>
        <c:ser>
          <c:idx val="1"/>
          <c:order val="1"/>
          <c:tx>
            <c:v>Kobiety</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Zbiorczy!$H$14</c:f>
              <c:numCache>
                <c:formatCode>General</c:formatCode>
                <c:ptCount val="1"/>
                <c:pt idx="0">
                  <c:v>4.1782178217821784</c:v>
                </c:pt>
              </c:numCache>
            </c:numRef>
          </c:val>
        </c:ser>
        <c:ser>
          <c:idx val="9"/>
          <c:order val="2"/>
          <c:val>
            <c:numLit>
              <c:formatCode>General</c:formatCode>
              <c:ptCount val="1"/>
              <c:pt idx="0">
                <c:v>0</c:v>
              </c:pt>
            </c:numLit>
          </c:val>
        </c:ser>
        <c:ser>
          <c:idx val="2"/>
          <c:order val="3"/>
          <c:tx>
            <c:v>Wykształcenie wyższe</c:v>
          </c:tx>
          <c:val>
            <c:numRef>
              <c:f>Zbiorczy!$K$14</c:f>
              <c:numCache>
                <c:formatCode>General</c:formatCode>
                <c:ptCount val="1"/>
                <c:pt idx="0">
                  <c:v>4.2692307692307692</c:v>
                </c:pt>
              </c:numCache>
            </c:numRef>
          </c:val>
        </c:ser>
        <c:ser>
          <c:idx val="3"/>
          <c:order val="4"/>
          <c:tx>
            <c:v>Wykształcenie średnie i policealne</c:v>
          </c:tx>
          <c:val>
            <c:numRef>
              <c:f>Zbiorczy!$N$14</c:f>
              <c:numCache>
                <c:formatCode>General</c:formatCode>
                <c:ptCount val="1"/>
                <c:pt idx="0">
                  <c:v>4.1969696969696972</c:v>
                </c:pt>
              </c:numCache>
            </c:numRef>
          </c:val>
        </c:ser>
        <c:ser>
          <c:idx val="4"/>
          <c:order val="5"/>
          <c:tx>
            <c:v>Wykształcenie zasadnicze zawodowe i poniżej</c:v>
          </c:tx>
          <c:val>
            <c:numRef>
              <c:f>Zbiorczy!$Q$14</c:f>
              <c:numCache>
                <c:formatCode>General</c:formatCode>
                <c:ptCount val="1"/>
                <c:pt idx="0">
                  <c:v>4.179245283018882</c:v>
                </c:pt>
              </c:numCache>
            </c:numRef>
          </c:val>
        </c:ser>
        <c:ser>
          <c:idx val="10"/>
          <c:order val="6"/>
          <c:val>
            <c:numLit>
              <c:formatCode>General</c:formatCode>
              <c:ptCount val="1"/>
              <c:pt idx="0">
                <c:v>0</c:v>
              </c:pt>
            </c:numLit>
          </c:val>
        </c:ser>
        <c:ser>
          <c:idx val="5"/>
          <c:order val="7"/>
          <c:tx>
            <c:v>Wiek: 18-29</c:v>
          </c:tx>
          <c:val>
            <c:numRef>
              <c:f>Zbiorczy!$T$14</c:f>
              <c:numCache>
                <c:formatCode>General</c:formatCode>
                <c:ptCount val="1"/>
                <c:pt idx="0">
                  <c:v>4.0999999999999996</c:v>
                </c:pt>
              </c:numCache>
            </c:numRef>
          </c:val>
        </c:ser>
        <c:ser>
          <c:idx val="6"/>
          <c:order val="8"/>
          <c:tx>
            <c:v>Wiek: 30-39</c:v>
          </c:tx>
          <c:val>
            <c:numRef>
              <c:f>Zbiorczy!$W$14</c:f>
              <c:numCache>
                <c:formatCode>General</c:formatCode>
                <c:ptCount val="1"/>
                <c:pt idx="0">
                  <c:v>4.2564102564102413</c:v>
                </c:pt>
              </c:numCache>
            </c:numRef>
          </c:val>
        </c:ser>
        <c:ser>
          <c:idx val="7"/>
          <c:order val="9"/>
          <c:tx>
            <c:v>Wiek: 40-59</c:v>
          </c:tx>
          <c:val>
            <c:numRef>
              <c:f>Zbiorczy!$Z$14</c:f>
              <c:numCache>
                <c:formatCode>General</c:formatCode>
                <c:ptCount val="1"/>
                <c:pt idx="0">
                  <c:v>4.2533333333333445</c:v>
                </c:pt>
              </c:numCache>
            </c:numRef>
          </c:val>
        </c:ser>
        <c:ser>
          <c:idx val="8"/>
          <c:order val="10"/>
          <c:tx>
            <c:v>Wiek: 60 i powyżej</c:v>
          </c:tx>
          <c:val>
            <c:numRef>
              <c:f>Zbiorczy!$AC$14</c:f>
              <c:numCache>
                <c:formatCode>General</c:formatCode>
                <c:ptCount val="1"/>
                <c:pt idx="0">
                  <c:v>4.1428571428571415</c:v>
                </c:pt>
              </c:numCache>
            </c:numRef>
          </c:val>
        </c:ser>
        <c:axId val="118362496"/>
        <c:axId val="118364032"/>
      </c:barChart>
      <c:catAx>
        <c:axId val="118362496"/>
        <c:scaling>
          <c:orientation val="minMax"/>
        </c:scaling>
        <c:delete val="1"/>
        <c:axPos val="b"/>
        <c:tickLblPos val="none"/>
        <c:crossAx val="118364032"/>
        <c:crosses val="autoZero"/>
        <c:auto val="1"/>
        <c:lblAlgn val="ctr"/>
        <c:lblOffset val="100"/>
      </c:catAx>
      <c:valAx>
        <c:axId val="118364032"/>
        <c:scaling>
          <c:orientation val="minMax"/>
          <c:max val="5"/>
        </c:scaling>
        <c:axPos val="l"/>
        <c:numFmt formatCode="General" sourceLinked="1"/>
        <c:tickLblPos val="nextTo"/>
        <c:txPr>
          <a:bodyPr/>
          <a:lstStyle/>
          <a:p>
            <a:pPr>
              <a:defRPr sz="800"/>
            </a:pPr>
            <a:endParaRPr lang="pl-PL"/>
          </a:p>
        </c:txPr>
        <c:crossAx val="118362496"/>
        <c:crosses val="autoZero"/>
        <c:crossBetween val="between"/>
        <c:majorUnit val="1"/>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1.8242275557765013E-2"/>
          <c:y val="0.75711310741246407"/>
          <c:w val="0.97909911143039863"/>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9.6336541125815772E-2"/>
          <c:y val="4.8662546315632167E-2"/>
          <c:w val="0.87534688812643824"/>
          <c:h val="0.58810829489154737"/>
        </c:manualLayout>
      </c:layout>
      <c:barChart>
        <c:barDir val="col"/>
        <c:grouping val="clustered"/>
        <c:ser>
          <c:idx val="0"/>
          <c:order val="0"/>
          <c:tx>
            <c:v>Mężczyźni</c:v>
          </c:tx>
          <c:dLbls>
            <c:txPr>
              <a:bodyPr rot="-5400000" vert="horz"/>
              <a:lstStyle/>
              <a:p>
                <a:pPr>
                  <a:defRPr/>
                </a:pPr>
                <a:endParaRPr lang="pl-PL"/>
              </a:p>
            </c:txPr>
            <c:showSerName val="1"/>
          </c:dLbls>
          <c:cat>
            <c:strRef>
              <c:f>Zbiorczy!$C$20:$D$20</c:f>
              <c:strCache>
                <c:ptCount val="2"/>
                <c:pt idx="0">
                  <c:v>NIE</c:v>
                </c:pt>
                <c:pt idx="1">
                  <c:v>TAK</c:v>
                </c:pt>
              </c:strCache>
            </c:strRef>
          </c:cat>
          <c:val>
            <c:numRef>
              <c:f>Zbiorczy!$C$15:$D$15</c:f>
              <c:numCache>
                <c:formatCode>0%</c:formatCode>
                <c:ptCount val="2"/>
                <c:pt idx="0">
                  <c:v>0.1243902439024394</c:v>
                </c:pt>
                <c:pt idx="1">
                  <c:v>0.87560975609756309</c:v>
                </c:pt>
              </c:numCache>
            </c:numRef>
          </c:val>
        </c:ser>
        <c:ser>
          <c:idx val="1"/>
          <c:order val="1"/>
          <c:tx>
            <c:v>Kobiety</c:v>
          </c:tx>
          <c:dLbls>
            <c:txPr>
              <a:bodyPr rot="-5400000" vert="horz"/>
              <a:lstStyle/>
              <a:p>
                <a:pPr>
                  <a:defRPr/>
                </a:pPr>
                <a:endParaRPr lang="pl-PL"/>
              </a:p>
            </c:txPr>
            <c:showSerName val="1"/>
          </c:dLbls>
          <c:val>
            <c:numRef>
              <c:f>Zbiorczy!$F$15:$G$15</c:f>
              <c:numCache>
                <c:formatCode>0%</c:formatCode>
                <c:ptCount val="2"/>
                <c:pt idx="0">
                  <c:v>0.10653753026634392</c:v>
                </c:pt>
                <c:pt idx="1">
                  <c:v>0.89346246973365329</c:v>
                </c:pt>
              </c:numCache>
            </c:numRef>
          </c:val>
        </c:ser>
        <c:ser>
          <c:idx val="9"/>
          <c:order val="2"/>
          <c:val>
            <c:numLit>
              <c:formatCode>General</c:formatCode>
              <c:ptCount val="1"/>
              <c:pt idx="0">
                <c:v>0</c:v>
              </c:pt>
            </c:numLit>
          </c:val>
        </c:ser>
        <c:ser>
          <c:idx val="2"/>
          <c:order val="3"/>
          <c:tx>
            <c:v>Wykształcenie wyższe</c:v>
          </c:tx>
          <c:val>
            <c:numRef>
              <c:f>Zbiorczy!$I$15:$J$15</c:f>
              <c:numCache>
                <c:formatCode>0%</c:formatCode>
                <c:ptCount val="2"/>
                <c:pt idx="0">
                  <c:v>0.12149532710280374</c:v>
                </c:pt>
                <c:pt idx="1">
                  <c:v>0.87850467289719791</c:v>
                </c:pt>
              </c:numCache>
            </c:numRef>
          </c:val>
        </c:ser>
        <c:ser>
          <c:idx val="3"/>
          <c:order val="4"/>
          <c:tx>
            <c:v>Wykształcenie średnie i policealne</c:v>
          </c:tx>
          <c:val>
            <c:numRef>
              <c:f>Zbiorczy!$L$15:$M$15</c:f>
              <c:numCache>
                <c:formatCode>0%</c:formatCode>
                <c:ptCount val="2"/>
                <c:pt idx="0">
                  <c:v>0.19245283018867926</c:v>
                </c:pt>
                <c:pt idx="1">
                  <c:v>0.80754716981131869</c:v>
                </c:pt>
              </c:numCache>
            </c:numRef>
          </c:val>
        </c:ser>
        <c:ser>
          <c:idx val="4"/>
          <c:order val="5"/>
          <c:tx>
            <c:v>Wykształcenie zasadnicze zawodowe i poniżej</c:v>
          </c:tx>
          <c:val>
            <c:numRef>
              <c:f>Zbiorczy!$O$15:$P$15</c:f>
              <c:numCache>
                <c:formatCode>0%</c:formatCode>
                <c:ptCount val="2"/>
                <c:pt idx="0">
                  <c:v>6.9506726457399123E-2</c:v>
                </c:pt>
                <c:pt idx="1">
                  <c:v>0.93049327354260092</c:v>
                </c:pt>
              </c:numCache>
            </c:numRef>
          </c:val>
        </c:ser>
        <c:ser>
          <c:idx val="10"/>
          <c:order val="6"/>
          <c:val>
            <c:numLit>
              <c:formatCode>General</c:formatCode>
              <c:ptCount val="1"/>
              <c:pt idx="0">
                <c:v>0</c:v>
              </c:pt>
            </c:numLit>
          </c:val>
        </c:ser>
        <c:ser>
          <c:idx val="5"/>
          <c:order val="7"/>
          <c:tx>
            <c:v>Wiek: 18-29</c:v>
          </c:tx>
          <c:val>
            <c:numRef>
              <c:f>Zbiorczy!$R$15:$S$15</c:f>
              <c:numCache>
                <c:formatCode>0%</c:formatCode>
                <c:ptCount val="2"/>
                <c:pt idx="0">
                  <c:v>0.15270935960591173</c:v>
                </c:pt>
                <c:pt idx="1">
                  <c:v>0.84729064039409074</c:v>
                </c:pt>
              </c:numCache>
            </c:numRef>
          </c:val>
        </c:ser>
        <c:ser>
          <c:idx val="6"/>
          <c:order val="8"/>
          <c:tx>
            <c:v>Wiek: 30-39</c:v>
          </c:tx>
          <c:val>
            <c:numRef>
              <c:f>Zbiorczy!$U$15:$V$15</c:f>
              <c:numCache>
                <c:formatCode>0%</c:formatCode>
                <c:ptCount val="2"/>
                <c:pt idx="0">
                  <c:v>0.18709677419354839</c:v>
                </c:pt>
                <c:pt idx="1">
                  <c:v>0.81290322580645158</c:v>
                </c:pt>
              </c:numCache>
            </c:numRef>
          </c:val>
        </c:ser>
        <c:ser>
          <c:idx val="7"/>
          <c:order val="9"/>
          <c:tx>
            <c:v>Wiek: 40-59</c:v>
          </c:tx>
          <c:val>
            <c:numRef>
              <c:f>Zbiorczy!$X$15:$Y$15</c:f>
              <c:numCache>
                <c:formatCode>0%</c:formatCode>
                <c:ptCount val="2"/>
                <c:pt idx="0">
                  <c:v>7.8125E-2</c:v>
                </c:pt>
                <c:pt idx="1">
                  <c:v>0.92187500000000133</c:v>
                </c:pt>
              </c:numCache>
            </c:numRef>
          </c:val>
        </c:ser>
        <c:ser>
          <c:idx val="8"/>
          <c:order val="10"/>
          <c:tx>
            <c:v>Wiek: 60 i powyżej</c:v>
          </c:tx>
          <c:val>
            <c:numRef>
              <c:f>Zbiorczy!$AA$15:$AB$15</c:f>
              <c:numCache>
                <c:formatCode>0%</c:formatCode>
                <c:ptCount val="2"/>
                <c:pt idx="0">
                  <c:v>6.8965517241379309E-2</c:v>
                </c:pt>
                <c:pt idx="1">
                  <c:v>0.93103448275862066</c:v>
                </c:pt>
              </c:numCache>
            </c:numRef>
          </c:val>
        </c:ser>
        <c:gapWidth val="136"/>
        <c:overlap val="-15"/>
        <c:axId val="118418816"/>
        <c:axId val="118424704"/>
      </c:barChart>
      <c:catAx>
        <c:axId val="118418816"/>
        <c:scaling>
          <c:orientation val="minMax"/>
        </c:scaling>
        <c:axPos val="b"/>
        <c:majorGridlines/>
        <c:tickLblPos val="nextTo"/>
        <c:crossAx val="118424704"/>
        <c:crosses val="autoZero"/>
        <c:auto val="1"/>
        <c:lblAlgn val="ctr"/>
        <c:lblOffset val="100"/>
      </c:catAx>
      <c:valAx>
        <c:axId val="118424704"/>
        <c:scaling>
          <c:orientation val="minMax"/>
        </c:scaling>
        <c:axPos val="l"/>
        <c:numFmt formatCode="0%" sourceLinked="1"/>
        <c:tickLblPos val="nextTo"/>
        <c:txPr>
          <a:bodyPr/>
          <a:lstStyle/>
          <a:p>
            <a:pPr>
              <a:defRPr sz="800"/>
            </a:pPr>
            <a:endParaRPr lang="pl-PL"/>
          </a:p>
        </c:txPr>
        <c:crossAx val="118418816"/>
        <c:crosses val="autoZero"/>
        <c:crossBetween val="between"/>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1.7684985548819528E-2"/>
          <c:y val="0.75711310741246407"/>
          <c:w val="0.96641172293867239"/>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5.9832046542137647E-2"/>
          <c:y val="3.8222215534170517E-2"/>
          <c:w val="0.91227222398054286"/>
          <c:h val="0.67212110724040131"/>
        </c:manualLayout>
      </c:layout>
      <c:barChart>
        <c:barDir val="col"/>
        <c:grouping val="clustered"/>
        <c:ser>
          <c:idx val="0"/>
          <c:order val="0"/>
          <c:tx>
            <c:v>Mężczyźni</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Zbiorczy!$E$15</c:f>
              <c:numCache>
                <c:formatCode>General</c:formatCode>
                <c:ptCount val="1"/>
                <c:pt idx="0">
                  <c:v>4.1836734693877551</c:v>
                </c:pt>
              </c:numCache>
            </c:numRef>
          </c:val>
        </c:ser>
        <c:ser>
          <c:idx val="1"/>
          <c:order val="1"/>
          <c:tx>
            <c:v>Kobiety</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Zbiorczy!$H$15</c:f>
              <c:numCache>
                <c:formatCode>General</c:formatCode>
                <c:ptCount val="1"/>
                <c:pt idx="0">
                  <c:v>4.0891089108910892</c:v>
                </c:pt>
              </c:numCache>
            </c:numRef>
          </c:val>
        </c:ser>
        <c:ser>
          <c:idx val="9"/>
          <c:order val="2"/>
          <c:val>
            <c:numLit>
              <c:formatCode>General</c:formatCode>
              <c:ptCount val="1"/>
              <c:pt idx="0">
                <c:v>0</c:v>
              </c:pt>
            </c:numLit>
          </c:val>
        </c:ser>
        <c:ser>
          <c:idx val="2"/>
          <c:order val="3"/>
          <c:tx>
            <c:v>Wykształcenie wyższe</c:v>
          </c:tx>
          <c:val>
            <c:numRef>
              <c:f>Zbiorczy!$K$15</c:f>
              <c:numCache>
                <c:formatCode>General</c:formatCode>
                <c:ptCount val="1"/>
                <c:pt idx="0">
                  <c:v>4.115384615384615</c:v>
                </c:pt>
              </c:numCache>
            </c:numRef>
          </c:val>
        </c:ser>
        <c:ser>
          <c:idx val="3"/>
          <c:order val="4"/>
          <c:tx>
            <c:v>Wykształcenie średnie i policealne</c:v>
          </c:tx>
          <c:val>
            <c:numRef>
              <c:f>Zbiorczy!$N$15</c:f>
              <c:numCache>
                <c:formatCode>General</c:formatCode>
                <c:ptCount val="1"/>
                <c:pt idx="0">
                  <c:v>4.0151515151515156</c:v>
                </c:pt>
              </c:numCache>
            </c:numRef>
          </c:val>
        </c:ser>
        <c:ser>
          <c:idx val="4"/>
          <c:order val="5"/>
          <c:tx>
            <c:v>Wykształcenie zasadnicze zawodowe i poniżej</c:v>
          </c:tx>
          <c:val>
            <c:numRef>
              <c:f>Zbiorczy!$Q$15</c:f>
              <c:numCache>
                <c:formatCode>General</c:formatCode>
                <c:ptCount val="1"/>
                <c:pt idx="0">
                  <c:v>4.2075471698113214</c:v>
                </c:pt>
              </c:numCache>
            </c:numRef>
          </c:val>
        </c:ser>
        <c:ser>
          <c:idx val="10"/>
          <c:order val="6"/>
          <c:val>
            <c:numLit>
              <c:formatCode>General</c:formatCode>
              <c:ptCount val="1"/>
              <c:pt idx="0">
                <c:v>0</c:v>
              </c:pt>
            </c:numLit>
          </c:val>
        </c:ser>
        <c:ser>
          <c:idx val="5"/>
          <c:order val="7"/>
          <c:tx>
            <c:v>Wiek: 18-29</c:v>
          </c:tx>
          <c:val>
            <c:numRef>
              <c:f>Zbiorczy!$T$15</c:f>
              <c:numCache>
                <c:formatCode>General</c:formatCode>
                <c:ptCount val="1"/>
                <c:pt idx="0">
                  <c:v>4.0599999999999996</c:v>
                </c:pt>
              </c:numCache>
            </c:numRef>
          </c:val>
        </c:ser>
        <c:ser>
          <c:idx val="6"/>
          <c:order val="8"/>
          <c:tx>
            <c:v>Wiek: 30-39</c:v>
          </c:tx>
          <c:val>
            <c:numRef>
              <c:f>Zbiorczy!$W$15</c:f>
              <c:numCache>
                <c:formatCode>General</c:formatCode>
                <c:ptCount val="1"/>
                <c:pt idx="0">
                  <c:v>3.9743589743589727</c:v>
                </c:pt>
              </c:numCache>
            </c:numRef>
          </c:val>
        </c:ser>
        <c:ser>
          <c:idx val="7"/>
          <c:order val="9"/>
          <c:tx>
            <c:v>Wiek: 40-59</c:v>
          </c:tx>
          <c:val>
            <c:numRef>
              <c:f>Zbiorczy!$Z$15</c:f>
              <c:numCache>
                <c:formatCode>General</c:formatCode>
                <c:ptCount val="1"/>
                <c:pt idx="0">
                  <c:v>4.2666666666666684</c:v>
                </c:pt>
              </c:numCache>
            </c:numRef>
          </c:val>
        </c:ser>
        <c:ser>
          <c:idx val="8"/>
          <c:order val="10"/>
          <c:tx>
            <c:v>Wiek: 60 i powyżej</c:v>
          </c:tx>
          <c:val>
            <c:numRef>
              <c:f>Zbiorczy!$AC$15</c:f>
              <c:numCache>
                <c:formatCode>General</c:formatCode>
                <c:ptCount val="1"/>
                <c:pt idx="0">
                  <c:v>4.1428571428571415</c:v>
                </c:pt>
              </c:numCache>
            </c:numRef>
          </c:val>
        </c:ser>
        <c:axId val="118512256"/>
        <c:axId val="118530432"/>
      </c:barChart>
      <c:catAx>
        <c:axId val="118512256"/>
        <c:scaling>
          <c:orientation val="minMax"/>
        </c:scaling>
        <c:delete val="1"/>
        <c:axPos val="b"/>
        <c:tickLblPos val="none"/>
        <c:crossAx val="118530432"/>
        <c:crosses val="autoZero"/>
        <c:auto val="1"/>
        <c:lblAlgn val="ctr"/>
        <c:lblOffset val="100"/>
      </c:catAx>
      <c:valAx>
        <c:axId val="118530432"/>
        <c:scaling>
          <c:orientation val="minMax"/>
          <c:max val="5"/>
        </c:scaling>
        <c:axPos val="l"/>
        <c:numFmt formatCode="General" sourceLinked="1"/>
        <c:tickLblPos val="nextTo"/>
        <c:txPr>
          <a:bodyPr/>
          <a:lstStyle/>
          <a:p>
            <a:pPr>
              <a:defRPr sz="800"/>
            </a:pPr>
            <a:endParaRPr lang="pl-PL"/>
          </a:p>
        </c:txPr>
        <c:crossAx val="118512256"/>
        <c:crosses val="autoZero"/>
        <c:crossBetween val="between"/>
        <c:majorUnit val="1"/>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2.2669024258501758E-2"/>
          <c:y val="0.75711310741246407"/>
          <c:w val="0.9615931516683025"/>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sz="1000"/>
            </a:pPr>
            <a:r>
              <a:rPr lang="pl-PL" sz="1000"/>
              <a:t>Liczba osób bezrobotnych w Pobiedziskach</a:t>
            </a:r>
            <a:br>
              <a:rPr lang="pl-PL" sz="1000"/>
            </a:br>
            <a:r>
              <a:rPr lang="pl-PL" sz="1000"/>
              <a:t>w latach 2003-2010</a:t>
            </a:r>
          </a:p>
        </c:rich>
      </c:tx>
      <c:layout>
        <c:manualLayout>
          <c:xMode val="edge"/>
          <c:yMode val="edge"/>
          <c:x val="0.20216771651671792"/>
          <c:y val="0"/>
        </c:manualLayout>
      </c:layout>
    </c:title>
    <c:plotArea>
      <c:layout>
        <c:manualLayout>
          <c:layoutTarget val="inner"/>
          <c:xMode val="edge"/>
          <c:yMode val="edge"/>
          <c:x val="0.11741393142115548"/>
          <c:y val="0.13592625358339988"/>
          <c:w val="0.83350997666365723"/>
          <c:h val="0.75500512792562613"/>
        </c:manualLayout>
      </c:layout>
      <c:areaChart>
        <c:grouping val="stacked"/>
        <c:ser>
          <c:idx val="0"/>
          <c:order val="0"/>
          <c:tx>
            <c:strRef>
              <c:f>'Dane wg podgr. cech'!$B$11</c:f>
              <c:strCache>
                <c:ptCount val="1"/>
                <c:pt idx="0">
                  <c:v>kobiety</c:v>
                </c:pt>
              </c:strCache>
            </c:strRef>
          </c:tx>
          <c:dLbls>
            <c:txPr>
              <a:bodyPr/>
              <a:lstStyle/>
              <a:p>
                <a:pPr>
                  <a:defRPr sz="900"/>
                </a:pPr>
                <a:endParaRPr lang="pl-PL"/>
              </a:p>
            </c:txPr>
            <c:showSerName val="1"/>
          </c:dLbls>
          <c:cat>
            <c:strRef>
              <c:f>'Dane wg podgr. cech'!$C$7:$J$7</c:f>
              <c:strCache>
                <c:ptCount val="8"/>
                <c:pt idx="0">
                  <c:v>2003</c:v>
                </c:pt>
                <c:pt idx="1">
                  <c:v>2004</c:v>
                </c:pt>
                <c:pt idx="2">
                  <c:v>2005</c:v>
                </c:pt>
                <c:pt idx="3">
                  <c:v>2006</c:v>
                </c:pt>
                <c:pt idx="4">
                  <c:v>2007</c:v>
                </c:pt>
                <c:pt idx="5">
                  <c:v>2008</c:v>
                </c:pt>
                <c:pt idx="6">
                  <c:v>2009</c:v>
                </c:pt>
                <c:pt idx="7">
                  <c:v>2010</c:v>
                </c:pt>
              </c:strCache>
            </c:strRef>
          </c:cat>
          <c:val>
            <c:numRef>
              <c:f>'Dane wg podgr. cech'!$C$11:$J$11</c:f>
              <c:numCache>
                <c:formatCode>#,##0</c:formatCode>
                <c:ptCount val="8"/>
                <c:pt idx="0">
                  <c:v>423</c:v>
                </c:pt>
                <c:pt idx="1">
                  <c:v>430</c:v>
                </c:pt>
                <c:pt idx="2">
                  <c:v>456</c:v>
                </c:pt>
                <c:pt idx="3">
                  <c:v>423</c:v>
                </c:pt>
                <c:pt idx="4">
                  <c:v>261</c:v>
                </c:pt>
                <c:pt idx="5">
                  <c:v>91</c:v>
                </c:pt>
                <c:pt idx="6">
                  <c:v>166</c:v>
                </c:pt>
                <c:pt idx="7">
                  <c:v>163</c:v>
                </c:pt>
              </c:numCache>
            </c:numRef>
          </c:val>
        </c:ser>
        <c:ser>
          <c:idx val="1"/>
          <c:order val="1"/>
          <c:tx>
            <c:strRef>
              <c:f>'Dane wg podgr. cech'!$B$10</c:f>
              <c:strCache>
                <c:ptCount val="1"/>
                <c:pt idx="0">
                  <c:v>mężczyźni</c:v>
                </c:pt>
              </c:strCache>
            </c:strRef>
          </c:tx>
          <c:dLbls>
            <c:dLbl>
              <c:idx val="0"/>
              <c:layout>
                <c:manualLayout>
                  <c:x val="-0.10521011810432705"/>
                  <c:y val="-7.0856865942635433E-2"/>
                </c:manualLayout>
              </c:layout>
              <c:showSerName val="1"/>
            </c:dLbl>
            <c:txPr>
              <a:bodyPr/>
              <a:lstStyle/>
              <a:p>
                <a:pPr>
                  <a:defRPr sz="900"/>
                </a:pPr>
                <a:endParaRPr lang="pl-PL"/>
              </a:p>
            </c:txPr>
            <c:showSerName val="1"/>
          </c:dLbls>
          <c:cat>
            <c:strRef>
              <c:f>'Dane wg podgr. cech'!$C$7:$J$7</c:f>
              <c:strCache>
                <c:ptCount val="8"/>
                <c:pt idx="0">
                  <c:v>2003</c:v>
                </c:pt>
                <c:pt idx="1">
                  <c:v>2004</c:v>
                </c:pt>
                <c:pt idx="2">
                  <c:v>2005</c:v>
                </c:pt>
                <c:pt idx="3">
                  <c:v>2006</c:v>
                </c:pt>
                <c:pt idx="4">
                  <c:v>2007</c:v>
                </c:pt>
                <c:pt idx="5">
                  <c:v>2008</c:v>
                </c:pt>
                <c:pt idx="6">
                  <c:v>2009</c:v>
                </c:pt>
                <c:pt idx="7">
                  <c:v>2010</c:v>
                </c:pt>
              </c:strCache>
            </c:strRef>
          </c:cat>
          <c:val>
            <c:numRef>
              <c:f>'Dane wg podgr. cech'!$C$10:$J$10</c:f>
              <c:numCache>
                <c:formatCode>#,##0</c:formatCode>
                <c:ptCount val="8"/>
                <c:pt idx="0">
                  <c:v>373</c:v>
                </c:pt>
                <c:pt idx="1">
                  <c:v>385</c:v>
                </c:pt>
                <c:pt idx="2">
                  <c:v>348</c:v>
                </c:pt>
                <c:pt idx="3">
                  <c:v>262</c:v>
                </c:pt>
                <c:pt idx="4">
                  <c:v>130</c:v>
                </c:pt>
                <c:pt idx="5">
                  <c:v>70</c:v>
                </c:pt>
                <c:pt idx="6">
                  <c:v>135</c:v>
                </c:pt>
                <c:pt idx="7">
                  <c:v>155</c:v>
                </c:pt>
              </c:numCache>
            </c:numRef>
          </c:val>
        </c:ser>
        <c:axId val="136026368"/>
        <c:axId val="136032256"/>
      </c:areaChart>
      <c:catAx>
        <c:axId val="136026368"/>
        <c:scaling>
          <c:orientation val="minMax"/>
        </c:scaling>
        <c:axPos val="b"/>
        <c:numFmt formatCode="General" sourceLinked="1"/>
        <c:majorTickMark val="none"/>
        <c:tickLblPos val="nextTo"/>
        <c:txPr>
          <a:bodyPr/>
          <a:lstStyle/>
          <a:p>
            <a:pPr>
              <a:defRPr sz="900"/>
            </a:pPr>
            <a:endParaRPr lang="pl-PL"/>
          </a:p>
        </c:txPr>
        <c:crossAx val="136032256"/>
        <c:crosses val="autoZero"/>
        <c:auto val="1"/>
        <c:lblAlgn val="ctr"/>
        <c:lblOffset val="100"/>
      </c:catAx>
      <c:valAx>
        <c:axId val="136032256"/>
        <c:scaling>
          <c:orientation val="minMax"/>
        </c:scaling>
        <c:axPos val="l"/>
        <c:majorGridlines/>
        <c:title>
          <c:tx>
            <c:rich>
              <a:bodyPr rot="-5400000" vert="horz"/>
              <a:lstStyle/>
              <a:p>
                <a:pPr>
                  <a:defRPr/>
                </a:pPr>
                <a:r>
                  <a:rPr lang="pl-PL" sz="800" b="0"/>
                  <a:t>liczba osób</a:t>
                </a:r>
              </a:p>
            </c:rich>
          </c:tx>
        </c:title>
        <c:numFmt formatCode="#,##0" sourceLinked="1"/>
        <c:majorTickMark val="none"/>
        <c:tickLblPos val="nextTo"/>
        <c:txPr>
          <a:bodyPr/>
          <a:lstStyle/>
          <a:p>
            <a:pPr>
              <a:defRPr sz="900"/>
            </a:pPr>
            <a:endParaRPr lang="pl-PL"/>
          </a:p>
        </c:txPr>
        <c:crossAx val="136026368"/>
        <c:crosses val="autoZero"/>
        <c:crossBetween val="midCat"/>
      </c:valAx>
      <c:spPr>
        <a:solidFill>
          <a:schemeClr val="bg1">
            <a:lumMod val="95000"/>
          </a:schemeClr>
        </a:solidFill>
      </c:spPr>
    </c:plotArea>
    <c:plotVisOnly val="1"/>
    <c:dispBlanksAs val="zero"/>
  </c:chart>
  <c:spPr>
    <a:solidFill>
      <a:schemeClr val="bg1">
        <a:lumMod val="95000"/>
      </a:schemeClr>
    </a:solidFill>
    <a:ln>
      <a:noFill/>
    </a:ln>
  </c:sp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9.8026646470509043E-2"/>
          <c:y val="3.2282288825171625E-2"/>
          <c:w val="0.87316000360527823"/>
          <c:h val="0.60750873691641327"/>
        </c:manualLayout>
      </c:layout>
      <c:barChart>
        <c:barDir val="col"/>
        <c:grouping val="clustered"/>
        <c:ser>
          <c:idx val="0"/>
          <c:order val="0"/>
          <c:tx>
            <c:v>Mężczyźni</c:v>
          </c:tx>
          <c:dLbls>
            <c:txPr>
              <a:bodyPr rot="-5400000" vert="horz"/>
              <a:lstStyle/>
              <a:p>
                <a:pPr>
                  <a:defRPr/>
                </a:pPr>
                <a:endParaRPr lang="pl-PL"/>
              </a:p>
            </c:txPr>
            <c:showSerName val="1"/>
          </c:dLbls>
          <c:cat>
            <c:strRef>
              <c:f>Zbiorczy!$C$20:$D$20</c:f>
              <c:strCache>
                <c:ptCount val="2"/>
                <c:pt idx="0">
                  <c:v>NIE</c:v>
                </c:pt>
                <c:pt idx="1">
                  <c:v>TAK</c:v>
                </c:pt>
              </c:strCache>
            </c:strRef>
          </c:cat>
          <c:val>
            <c:numRef>
              <c:f>Zbiorczy!$C$16:$D$16</c:f>
              <c:numCache>
                <c:formatCode>0%</c:formatCode>
                <c:ptCount val="2"/>
                <c:pt idx="0">
                  <c:v>7.9601990049751409E-2</c:v>
                </c:pt>
                <c:pt idx="1">
                  <c:v>0.92039800995024856</c:v>
                </c:pt>
              </c:numCache>
            </c:numRef>
          </c:val>
        </c:ser>
        <c:ser>
          <c:idx val="1"/>
          <c:order val="1"/>
          <c:tx>
            <c:v>Kobiety</c:v>
          </c:tx>
          <c:dLbls>
            <c:txPr>
              <a:bodyPr rot="-5400000" vert="horz"/>
              <a:lstStyle/>
              <a:p>
                <a:pPr>
                  <a:defRPr/>
                </a:pPr>
                <a:endParaRPr lang="pl-PL"/>
              </a:p>
            </c:txPr>
            <c:showSerName val="1"/>
          </c:dLbls>
          <c:val>
            <c:numRef>
              <c:f>Zbiorczy!$F$16:$G$16</c:f>
              <c:numCache>
                <c:formatCode>0%</c:formatCode>
                <c:ptCount val="2"/>
                <c:pt idx="0">
                  <c:v>0.12280701754385964</c:v>
                </c:pt>
                <c:pt idx="1">
                  <c:v>0.87719298245614064</c:v>
                </c:pt>
              </c:numCache>
            </c:numRef>
          </c:val>
        </c:ser>
        <c:ser>
          <c:idx val="9"/>
          <c:order val="2"/>
          <c:val>
            <c:numLit>
              <c:formatCode>General</c:formatCode>
              <c:ptCount val="1"/>
              <c:pt idx="0">
                <c:v>0</c:v>
              </c:pt>
            </c:numLit>
          </c:val>
        </c:ser>
        <c:ser>
          <c:idx val="2"/>
          <c:order val="3"/>
          <c:tx>
            <c:v>Wykształcenie wyższe</c:v>
          </c:tx>
          <c:val>
            <c:numRef>
              <c:f>Zbiorczy!$I$16:$J$16</c:f>
              <c:numCache>
                <c:formatCode>0%</c:formatCode>
                <c:ptCount val="2"/>
                <c:pt idx="0">
                  <c:v>0.17543859649122875</c:v>
                </c:pt>
                <c:pt idx="1">
                  <c:v>0.8245614035087736</c:v>
                </c:pt>
              </c:numCache>
            </c:numRef>
          </c:val>
        </c:ser>
        <c:ser>
          <c:idx val="3"/>
          <c:order val="4"/>
          <c:tx>
            <c:v>Wykształcenie średnie i policealne</c:v>
          </c:tx>
          <c:val>
            <c:numRef>
              <c:f>Zbiorczy!$L$16:$M$16</c:f>
              <c:numCache>
                <c:formatCode>0%</c:formatCode>
                <c:ptCount val="2"/>
                <c:pt idx="0">
                  <c:v>0.12915129151291521</c:v>
                </c:pt>
                <c:pt idx="1">
                  <c:v>0.87084870848708673</c:v>
                </c:pt>
              </c:numCache>
            </c:numRef>
          </c:val>
        </c:ser>
        <c:ser>
          <c:idx val="4"/>
          <c:order val="5"/>
          <c:tx>
            <c:v>Wykształcenie zasadnicze zawodowe i poniżej</c:v>
          </c:tx>
          <c:val>
            <c:numRef>
              <c:f>Zbiorczy!$O$16:$P$16</c:f>
              <c:numCache>
                <c:formatCode>0%</c:formatCode>
                <c:ptCount val="2"/>
                <c:pt idx="0">
                  <c:v>6.3106796116504854E-2</c:v>
                </c:pt>
                <c:pt idx="1">
                  <c:v>0.93689320388349695</c:v>
                </c:pt>
              </c:numCache>
            </c:numRef>
          </c:val>
        </c:ser>
        <c:ser>
          <c:idx val="10"/>
          <c:order val="6"/>
          <c:val>
            <c:numLit>
              <c:formatCode>General</c:formatCode>
              <c:ptCount val="1"/>
              <c:pt idx="0">
                <c:v>0</c:v>
              </c:pt>
            </c:numLit>
          </c:val>
        </c:ser>
        <c:ser>
          <c:idx val="5"/>
          <c:order val="7"/>
          <c:tx>
            <c:v>Wiek: 18-29</c:v>
          </c:tx>
          <c:val>
            <c:numRef>
              <c:f>Zbiorczy!$R$16:$S$16</c:f>
              <c:numCache>
                <c:formatCode>0%</c:formatCode>
                <c:ptCount val="2"/>
                <c:pt idx="0">
                  <c:v>0.2318840579710145</c:v>
                </c:pt>
                <c:pt idx="1">
                  <c:v>0.76811594202898703</c:v>
                </c:pt>
              </c:numCache>
            </c:numRef>
          </c:val>
        </c:ser>
        <c:ser>
          <c:idx val="6"/>
          <c:order val="8"/>
          <c:tx>
            <c:v>Wiek: 30-39</c:v>
          </c:tx>
          <c:val>
            <c:numRef>
              <c:f>Zbiorczy!$U$16:$V$16</c:f>
              <c:numCache>
                <c:formatCode>0%</c:formatCode>
                <c:ptCount val="2"/>
                <c:pt idx="0">
                  <c:v>2.6315789473684216E-2</c:v>
                </c:pt>
                <c:pt idx="1">
                  <c:v>0.97368421052631726</c:v>
                </c:pt>
              </c:numCache>
            </c:numRef>
          </c:val>
        </c:ser>
        <c:ser>
          <c:idx val="7"/>
          <c:order val="9"/>
          <c:tx>
            <c:v>Wiek: 40-59</c:v>
          </c:tx>
          <c:val>
            <c:numRef>
              <c:f>Zbiorczy!$X$16:$Y$16</c:f>
              <c:numCache>
                <c:formatCode>0%</c:formatCode>
                <c:ptCount val="2"/>
                <c:pt idx="0">
                  <c:v>7.8175895765472153E-2</c:v>
                </c:pt>
                <c:pt idx="1">
                  <c:v>0.92182410423452765</c:v>
                </c:pt>
              </c:numCache>
            </c:numRef>
          </c:val>
        </c:ser>
        <c:ser>
          <c:idx val="8"/>
          <c:order val="10"/>
          <c:tx>
            <c:v>Wiek: 60 i powyżej</c:v>
          </c:tx>
          <c:val>
            <c:numRef>
              <c:f>Zbiorczy!$AA$16:$AB$16</c:f>
              <c:numCache>
                <c:formatCode>0%</c:formatCode>
                <c:ptCount val="2"/>
                <c:pt idx="0">
                  <c:v>3.7037037037037056E-2</c:v>
                </c:pt>
                <c:pt idx="1">
                  <c:v>0.9629629629629608</c:v>
                </c:pt>
              </c:numCache>
            </c:numRef>
          </c:val>
        </c:ser>
        <c:gapWidth val="136"/>
        <c:overlap val="-15"/>
        <c:axId val="118593408"/>
        <c:axId val="118594944"/>
      </c:barChart>
      <c:catAx>
        <c:axId val="118593408"/>
        <c:scaling>
          <c:orientation val="minMax"/>
        </c:scaling>
        <c:axPos val="b"/>
        <c:majorGridlines/>
        <c:tickLblPos val="nextTo"/>
        <c:crossAx val="118594944"/>
        <c:crosses val="autoZero"/>
        <c:auto val="1"/>
        <c:lblAlgn val="ctr"/>
        <c:lblOffset val="100"/>
      </c:catAx>
      <c:valAx>
        <c:axId val="118594944"/>
        <c:scaling>
          <c:orientation val="minMax"/>
          <c:max val="1"/>
        </c:scaling>
        <c:axPos val="l"/>
        <c:numFmt formatCode="0%" sourceLinked="1"/>
        <c:tickLblPos val="nextTo"/>
        <c:txPr>
          <a:bodyPr/>
          <a:lstStyle/>
          <a:p>
            <a:pPr>
              <a:defRPr sz="800"/>
            </a:pPr>
            <a:endParaRPr lang="pl-PL"/>
          </a:p>
        </c:txPr>
        <c:crossAx val="118593408"/>
        <c:crosses val="autoZero"/>
        <c:crossBetween val="between"/>
        <c:majorUnit val="0.2"/>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9.3551605287218766E-3"/>
          <c:y val="0.75711310741246407"/>
          <c:w val="0.97615834513608168"/>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6.1396479142355721E-2"/>
          <c:y val="3.9649616030932942E-2"/>
          <c:w val="0.90997849537276554"/>
          <c:h val="0.68465754985666027"/>
        </c:manualLayout>
      </c:layout>
      <c:barChart>
        <c:barDir val="col"/>
        <c:grouping val="clustered"/>
        <c:ser>
          <c:idx val="0"/>
          <c:order val="0"/>
          <c:tx>
            <c:v>Mężczyźni</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Zbiorczy!$E$16</c:f>
              <c:numCache>
                <c:formatCode>General</c:formatCode>
                <c:ptCount val="1"/>
                <c:pt idx="0">
                  <c:v>4.1224489795918355</c:v>
                </c:pt>
              </c:numCache>
            </c:numRef>
          </c:val>
        </c:ser>
        <c:ser>
          <c:idx val="1"/>
          <c:order val="1"/>
          <c:tx>
            <c:v>Kobiety</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Zbiorczy!$H$16</c:f>
              <c:numCache>
                <c:formatCode>General</c:formatCode>
                <c:ptCount val="1"/>
                <c:pt idx="0">
                  <c:v>3.9504950495049505</c:v>
                </c:pt>
              </c:numCache>
            </c:numRef>
          </c:val>
        </c:ser>
        <c:ser>
          <c:idx val="9"/>
          <c:order val="2"/>
          <c:val>
            <c:numLit>
              <c:formatCode>General</c:formatCode>
              <c:ptCount val="1"/>
              <c:pt idx="0">
                <c:v>0</c:v>
              </c:pt>
            </c:numLit>
          </c:val>
        </c:ser>
        <c:ser>
          <c:idx val="2"/>
          <c:order val="3"/>
          <c:tx>
            <c:v>Wykształcenie wyższe</c:v>
          </c:tx>
          <c:val>
            <c:numRef>
              <c:f>Zbiorczy!$K$16</c:f>
              <c:numCache>
                <c:formatCode>General</c:formatCode>
                <c:ptCount val="1"/>
                <c:pt idx="0">
                  <c:v>4.384615384615385</c:v>
                </c:pt>
              </c:numCache>
            </c:numRef>
          </c:val>
        </c:ser>
        <c:ser>
          <c:idx val="3"/>
          <c:order val="4"/>
          <c:tx>
            <c:v>Wykształcenie średnie i policealne</c:v>
          </c:tx>
          <c:val>
            <c:numRef>
              <c:f>Zbiorczy!$N$16</c:f>
              <c:numCache>
                <c:formatCode>General</c:formatCode>
                <c:ptCount val="1"/>
                <c:pt idx="0">
                  <c:v>4.1060606060606064</c:v>
                </c:pt>
              </c:numCache>
            </c:numRef>
          </c:val>
        </c:ser>
        <c:ser>
          <c:idx val="4"/>
          <c:order val="5"/>
          <c:tx>
            <c:v>Wykształcenie zasadnicze zawodowe i poniżej</c:v>
          </c:tx>
          <c:val>
            <c:numRef>
              <c:f>Zbiorczy!$Q$16</c:f>
              <c:numCache>
                <c:formatCode>General</c:formatCode>
                <c:ptCount val="1"/>
                <c:pt idx="0">
                  <c:v>3.9056603773584904</c:v>
                </c:pt>
              </c:numCache>
            </c:numRef>
          </c:val>
        </c:ser>
        <c:ser>
          <c:idx val="10"/>
          <c:order val="6"/>
          <c:val>
            <c:numLit>
              <c:formatCode>General</c:formatCode>
              <c:ptCount val="1"/>
              <c:pt idx="0">
                <c:v>0</c:v>
              </c:pt>
            </c:numLit>
          </c:val>
        </c:ser>
        <c:ser>
          <c:idx val="5"/>
          <c:order val="7"/>
          <c:tx>
            <c:v>Wiek: 18-29</c:v>
          </c:tx>
          <c:val>
            <c:numRef>
              <c:f>Zbiorczy!$T$16</c:f>
              <c:numCache>
                <c:formatCode>General</c:formatCode>
                <c:ptCount val="1"/>
                <c:pt idx="0">
                  <c:v>4.1399999999999997</c:v>
                </c:pt>
              </c:numCache>
            </c:numRef>
          </c:val>
        </c:ser>
        <c:ser>
          <c:idx val="6"/>
          <c:order val="8"/>
          <c:tx>
            <c:v>Wiek: 30-39</c:v>
          </c:tx>
          <c:val>
            <c:numRef>
              <c:f>Zbiorczy!$W$16</c:f>
              <c:numCache>
                <c:formatCode>General</c:formatCode>
                <c:ptCount val="1"/>
                <c:pt idx="0">
                  <c:v>3.8974358974358974</c:v>
                </c:pt>
              </c:numCache>
            </c:numRef>
          </c:val>
        </c:ser>
        <c:ser>
          <c:idx val="7"/>
          <c:order val="9"/>
          <c:tx>
            <c:v>Wiek: 40-59</c:v>
          </c:tx>
          <c:val>
            <c:numRef>
              <c:f>Zbiorczy!$Z$16</c:f>
              <c:numCache>
                <c:formatCode>General</c:formatCode>
                <c:ptCount val="1"/>
                <c:pt idx="0">
                  <c:v>4.1199999999999966</c:v>
                </c:pt>
              </c:numCache>
            </c:numRef>
          </c:val>
        </c:ser>
        <c:ser>
          <c:idx val="8"/>
          <c:order val="10"/>
          <c:tx>
            <c:v>Wiek: 60 i powyżej</c:v>
          </c:tx>
          <c:val>
            <c:numRef>
              <c:f>Zbiorczy!$AC$16</c:f>
              <c:numCache>
                <c:formatCode>General</c:formatCode>
                <c:ptCount val="1"/>
                <c:pt idx="0">
                  <c:v>3.8571428571428572</c:v>
                </c:pt>
              </c:numCache>
            </c:numRef>
          </c:val>
        </c:ser>
        <c:axId val="118666368"/>
        <c:axId val="118667904"/>
      </c:barChart>
      <c:catAx>
        <c:axId val="118666368"/>
        <c:scaling>
          <c:orientation val="minMax"/>
        </c:scaling>
        <c:delete val="1"/>
        <c:axPos val="b"/>
        <c:tickLblPos val="none"/>
        <c:crossAx val="118667904"/>
        <c:crosses val="autoZero"/>
        <c:auto val="1"/>
        <c:lblAlgn val="ctr"/>
        <c:lblOffset val="100"/>
      </c:catAx>
      <c:valAx>
        <c:axId val="118667904"/>
        <c:scaling>
          <c:orientation val="minMax"/>
        </c:scaling>
        <c:axPos val="l"/>
        <c:numFmt formatCode="General" sourceLinked="1"/>
        <c:tickLblPos val="nextTo"/>
        <c:txPr>
          <a:bodyPr/>
          <a:lstStyle/>
          <a:p>
            <a:pPr>
              <a:defRPr sz="800"/>
            </a:pPr>
            <a:endParaRPr lang="pl-PL"/>
          </a:p>
        </c:txPr>
        <c:crossAx val="118666368"/>
        <c:crosses val="autoZero"/>
        <c:crossBetween val="between"/>
        <c:majorUnit val="1"/>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2.3574636906328085E-2"/>
          <c:y val="0.75711310741246407"/>
          <c:w val="0.9743735330186698"/>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9.6963446704246184E-2"/>
          <c:y val="4.4538601449656566E-2"/>
          <c:w val="0.87453571377567774"/>
          <c:h val="0.57847577237172054"/>
        </c:manualLayout>
      </c:layout>
      <c:barChart>
        <c:barDir val="col"/>
        <c:grouping val="clustered"/>
        <c:ser>
          <c:idx val="0"/>
          <c:order val="0"/>
          <c:tx>
            <c:v>Mężczyźni</c:v>
          </c:tx>
          <c:dLbls>
            <c:txPr>
              <a:bodyPr rot="-5400000" vert="horz"/>
              <a:lstStyle/>
              <a:p>
                <a:pPr>
                  <a:defRPr/>
                </a:pPr>
                <a:endParaRPr lang="pl-PL"/>
              </a:p>
            </c:txPr>
            <c:showSerName val="1"/>
          </c:dLbls>
          <c:cat>
            <c:strRef>
              <c:f>Zbiorczy!$C$20:$D$20</c:f>
              <c:strCache>
                <c:ptCount val="2"/>
                <c:pt idx="0">
                  <c:v>NIE</c:v>
                </c:pt>
                <c:pt idx="1">
                  <c:v>TAK</c:v>
                </c:pt>
              </c:strCache>
            </c:strRef>
          </c:cat>
          <c:val>
            <c:numRef>
              <c:f>Zbiorczy!$C$17:$D$17</c:f>
              <c:numCache>
                <c:formatCode>0%</c:formatCode>
                <c:ptCount val="2"/>
                <c:pt idx="0">
                  <c:v>8.6956521739130543E-2</c:v>
                </c:pt>
                <c:pt idx="1">
                  <c:v>0.91304347826086962</c:v>
                </c:pt>
              </c:numCache>
            </c:numRef>
          </c:val>
        </c:ser>
        <c:ser>
          <c:idx val="1"/>
          <c:order val="1"/>
          <c:tx>
            <c:v>Kobiety</c:v>
          </c:tx>
          <c:dLbls>
            <c:txPr>
              <a:bodyPr rot="-5400000" vert="horz"/>
              <a:lstStyle/>
              <a:p>
                <a:pPr>
                  <a:defRPr/>
                </a:pPr>
                <a:endParaRPr lang="pl-PL"/>
              </a:p>
            </c:txPr>
            <c:showSerName val="1"/>
          </c:dLbls>
          <c:val>
            <c:numRef>
              <c:f>Zbiorczy!$F$17:$G$17</c:f>
              <c:numCache>
                <c:formatCode>0%</c:formatCode>
                <c:ptCount val="2"/>
                <c:pt idx="0">
                  <c:v>0.13898305084745813</c:v>
                </c:pt>
                <c:pt idx="1">
                  <c:v>0.86101694915254157</c:v>
                </c:pt>
              </c:numCache>
            </c:numRef>
          </c:val>
        </c:ser>
        <c:ser>
          <c:idx val="9"/>
          <c:order val="2"/>
          <c:val>
            <c:numLit>
              <c:formatCode>General</c:formatCode>
              <c:ptCount val="1"/>
              <c:pt idx="0">
                <c:v>0</c:v>
              </c:pt>
            </c:numLit>
          </c:val>
        </c:ser>
        <c:ser>
          <c:idx val="2"/>
          <c:order val="3"/>
          <c:tx>
            <c:v>Wykształcenie wyższe</c:v>
          </c:tx>
          <c:val>
            <c:numRef>
              <c:f>Zbiorczy!$I$17:$J$17</c:f>
              <c:numCache>
                <c:formatCode>0%</c:formatCode>
                <c:ptCount val="2"/>
                <c:pt idx="0">
                  <c:v>0.17582417582417584</c:v>
                </c:pt>
                <c:pt idx="1">
                  <c:v>0.8241758241758258</c:v>
                </c:pt>
              </c:numCache>
            </c:numRef>
          </c:val>
        </c:ser>
        <c:ser>
          <c:idx val="3"/>
          <c:order val="4"/>
          <c:tx>
            <c:v>Wykształcenie średnie i policealne</c:v>
          </c:tx>
          <c:val>
            <c:numRef>
              <c:f>Zbiorczy!$L$17:$M$17</c:f>
              <c:numCache>
                <c:formatCode>0%</c:formatCode>
                <c:ptCount val="2"/>
                <c:pt idx="0">
                  <c:v>0.1024390243902439</c:v>
                </c:pt>
                <c:pt idx="1">
                  <c:v>0.89756097560975556</c:v>
                </c:pt>
              </c:numCache>
            </c:numRef>
          </c:val>
        </c:ser>
        <c:ser>
          <c:idx val="4"/>
          <c:order val="5"/>
          <c:tx>
            <c:v>Wykształcenie zasadnicze zawodowe i poniżej</c:v>
          </c:tx>
          <c:val>
            <c:numRef>
              <c:f>Zbiorczy!$O$17:$P$17</c:f>
              <c:numCache>
                <c:formatCode>0%</c:formatCode>
                <c:ptCount val="2"/>
                <c:pt idx="0">
                  <c:v>0.10332103321033212</c:v>
                </c:pt>
                <c:pt idx="1">
                  <c:v>0.89667896678966752</c:v>
                </c:pt>
              </c:numCache>
            </c:numRef>
          </c:val>
        </c:ser>
        <c:ser>
          <c:idx val="10"/>
          <c:order val="6"/>
          <c:val>
            <c:numLit>
              <c:formatCode>General</c:formatCode>
              <c:ptCount val="1"/>
              <c:pt idx="0">
                <c:v>0</c:v>
              </c:pt>
            </c:numLit>
          </c:val>
        </c:ser>
        <c:ser>
          <c:idx val="5"/>
          <c:order val="7"/>
          <c:tx>
            <c:v>Wiek: 18-29</c:v>
          </c:tx>
          <c:val>
            <c:numRef>
              <c:f>Zbiorczy!$R$17:$S$17</c:f>
              <c:numCache>
                <c:formatCode>0%</c:formatCode>
                <c:ptCount val="2"/>
                <c:pt idx="0">
                  <c:v>0.11842105263157916</c:v>
                </c:pt>
                <c:pt idx="1">
                  <c:v>0.88157894736842102</c:v>
                </c:pt>
              </c:numCache>
            </c:numRef>
          </c:val>
        </c:ser>
        <c:ser>
          <c:idx val="6"/>
          <c:order val="8"/>
          <c:tx>
            <c:v>Wiek: 30-39</c:v>
          </c:tx>
          <c:val>
            <c:numRef>
              <c:f>Zbiorczy!$U$17:$V$17</c:f>
              <c:numCache>
                <c:formatCode>0%</c:formatCode>
                <c:ptCount val="2"/>
                <c:pt idx="0">
                  <c:v>6.6037735849056797E-2</c:v>
                </c:pt>
                <c:pt idx="1">
                  <c:v>0.93396226415094208</c:v>
                </c:pt>
              </c:numCache>
            </c:numRef>
          </c:val>
        </c:ser>
        <c:ser>
          <c:idx val="7"/>
          <c:order val="9"/>
          <c:tx>
            <c:v>Wiek: 40-59</c:v>
          </c:tx>
          <c:val>
            <c:numRef>
              <c:f>Zbiorczy!$X$17:$Y$17</c:f>
              <c:numCache>
                <c:formatCode>0%</c:formatCode>
                <c:ptCount val="2"/>
                <c:pt idx="0">
                  <c:v>9.8214285714285726E-2</c:v>
                </c:pt>
                <c:pt idx="1">
                  <c:v>0.90178571428571463</c:v>
                </c:pt>
              </c:numCache>
            </c:numRef>
          </c:val>
        </c:ser>
        <c:ser>
          <c:idx val="8"/>
          <c:order val="10"/>
          <c:tx>
            <c:v>Wiek: 60 i powyżej</c:v>
          </c:tx>
          <c:val>
            <c:numRef>
              <c:f>Zbiorczy!$AA$17:$AB$17</c:f>
              <c:numCache>
                <c:formatCode>0%</c:formatCode>
                <c:ptCount val="2"/>
                <c:pt idx="0">
                  <c:v>0.20224719101123662</c:v>
                </c:pt>
                <c:pt idx="1">
                  <c:v>0.797752808988764</c:v>
                </c:pt>
              </c:numCache>
            </c:numRef>
          </c:val>
        </c:ser>
        <c:gapWidth val="136"/>
        <c:overlap val="-15"/>
        <c:axId val="118780288"/>
        <c:axId val="118781824"/>
      </c:barChart>
      <c:catAx>
        <c:axId val="118780288"/>
        <c:scaling>
          <c:orientation val="minMax"/>
        </c:scaling>
        <c:axPos val="b"/>
        <c:majorGridlines/>
        <c:tickLblPos val="nextTo"/>
        <c:crossAx val="118781824"/>
        <c:crosses val="autoZero"/>
        <c:auto val="1"/>
        <c:lblAlgn val="ctr"/>
        <c:lblOffset val="100"/>
      </c:catAx>
      <c:valAx>
        <c:axId val="118781824"/>
        <c:scaling>
          <c:orientation val="minMax"/>
        </c:scaling>
        <c:axPos val="l"/>
        <c:numFmt formatCode="0%" sourceLinked="1"/>
        <c:tickLblPos val="nextTo"/>
        <c:txPr>
          <a:bodyPr/>
          <a:lstStyle/>
          <a:p>
            <a:pPr>
              <a:defRPr sz="800"/>
            </a:pPr>
            <a:endParaRPr lang="pl-PL"/>
          </a:p>
        </c:txPr>
        <c:crossAx val="118780288"/>
        <c:crosses val="autoZero"/>
        <c:crossBetween val="between"/>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3.6344588818775871E-2"/>
          <c:y val="0.75711310741246407"/>
          <c:w val="0.96092487978439745"/>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6.1129914456678515E-2"/>
          <c:y val="3.6332921131098185E-2"/>
          <c:w val="0.91036924602324543"/>
          <c:h val="0.6701614454780892"/>
        </c:manualLayout>
      </c:layout>
      <c:barChart>
        <c:barDir val="col"/>
        <c:grouping val="clustered"/>
        <c:ser>
          <c:idx val="0"/>
          <c:order val="0"/>
          <c:tx>
            <c:v>Mężczyźni</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Zbiorczy!$E$17</c:f>
              <c:numCache>
                <c:formatCode>General</c:formatCode>
                <c:ptCount val="1"/>
                <c:pt idx="0">
                  <c:v>3.5102040816326552</c:v>
                </c:pt>
              </c:numCache>
            </c:numRef>
          </c:val>
        </c:ser>
        <c:ser>
          <c:idx val="1"/>
          <c:order val="1"/>
          <c:tx>
            <c:v>Kobiety</c:v>
          </c:tx>
          <c:dLbls>
            <c:txPr>
              <a:bodyPr rot="-5400000" vert="horz"/>
              <a:lstStyle/>
              <a:p>
                <a:pPr algn="ctr">
                  <a:defRPr lang="pl-PL" sz="1100" b="0" i="0" u="none" strike="noStrike" kern="1200" baseline="0">
                    <a:solidFill>
                      <a:sysClr val="window" lastClr="FFFFFF"/>
                    </a:solidFill>
                    <a:latin typeface="+mn-lt"/>
                    <a:ea typeface="+mn-ea"/>
                    <a:cs typeface="+mn-cs"/>
                  </a:defRPr>
                </a:pPr>
                <a:endParaRPr lang="pl-PL"/>
              </a:p>
            </c:txPr>
            <c:dLblPos val="ctr"/>
            <c:showSerName val="1"/>
          </c:dLbls>
          <c:val>
            <c:numRef>
              <c:f>Zbiorczy!$H$17</c:f>
              <c:numCache>
                <c:formatCode>General</c:formatCode>
                <c:ptCount val="1"/>
                <c:pt idx="0">
                  <c:v>3.5940594059405937</c:v>
                </c:pt>
              </c:numCache>
            </c:numRef>
          </c:val>
        </c:ser>
        <c:ser>
          <c:idx val="9"/>
          <c:order val="2"/>
          <c:val>
            <c:numLit>
              <c:formatCode>General</c:formatCode>
              <c:ptCount val="1"/>
              <c:pt idx="0">
                <c:v>0</c:v>
              </c:pt>
            </c:numLit>
          </c:val>
        </c:ser>
        <c:ser>
          <c:idx val="2"/>
          <c:order val="3"/>
          <c:tx>
            <c:v>Wykształcenie wyższe</c:v>
          </c:tx>
          <c:val>
            <c:numRef>
              <c:f>Zbiorczy!$K$17</c:f>
              <c:numCache>
                <c:formatCode>General</c:formatCode>
                <c:ptCount val="1"/>
                <c:pt idx="0">
                  <c:v>4.0769230769230784</c:v>
                </c:pt>
              </c:numCache>
            </c:numRef>
          </c:val>
        </c:ser>
        <c:ser>
          <c:idx val="3"/>
          <c:order val="4"/>
          <c:tx>
            <c:v>Wykształcenie średnie i policealne</c:v>
          </c:tx>
          <c:val>
            <c:numRef>
              <c:f>Zbiorczy!$N$17</c:f>
              <c:numCache>
                <c:formatCode>General</c:formatCode>
                <c:ptCount val="1"/>
                <c:pt idx="0">
                  <c:v>3.893939393939394</c:v>
                </c:pt>
              </c:numCache>
            </c:numRef>
          </c:val>
        </c:ser>
        <c:ser>
          <c:idx val="4"/>
          <c:order val="5"/>
          <c:tx>
            <c:v>Wykształcenie zasadnicze zawodowe i poniżej</c:v>
          </c:tx>
          <c:val>
            <c:numRef>
              <c:f>Zbiorczy!$Q$17</c:f>
              <c:numCache>
                <c:formatCode>General</c:formatCode>
                <c:ptCount val="1"/>
                <c:pt idx="0">
                  <c:v>3.2075471698113263</c:v>
                </c:pt>
              </c:numCache>
            </c:numRef>
          </c:val>
        </c:ser>
        <c:ser>
          <c:idx val="10"/>
          <c:order val="6"/>
          <c:val>
            <c:numLit>
              <c:formatCode>General</c:formatCode>
              <c:ptCount val="1"/>
              <c:pt idx="0">
                <c:v>0</c:v>
              </c:pt>
            </c:numLit>
          </c:val>
        </c:ser>
        <c:ser>
          <c:idx val="5"/>
          <c:order val="7"/>
          <c:tx>
            <c:v>Wiek: 18-29</c:v>
          </c:tx>
          <c:val>
            <c:numRef>
              <c:f>Zbiorczy!$T$17</c:f>
              <c:numCache>
                <c:formatCode>General</c:formatCode>
                <c:ptCount val="1"/>
                <c:pt idx="0">
                  <c:v>3.9</c:v>
                </c:pt>
              </c:numCache>
            </c:numRef>
          </c:val>
        </c:ser>
        <c:ser>
          <c:idx val="6"/>
          <c:order val="8"/>
          <c:tx>
            <c:v>Wiek: 30-39</c:v>
          </c:tx>
          <c:val>
            <c:numRef>
              <c:f>Zbiorczy!$W$17</c:f>
              <c:numCache>
                <c:formatCode>General</c:formatCode>
                <c:ptCount val="1"/>
                <c:pt idx="0">
                  <c:v>3.4615384615384617</c:v>
                </c:pt>
              </c:numCache>
            </c:numRef>
          </c:val>
        </c:ser>
        <c:ser>
          <c:idx val="7"/>
          <c:order val="9"/>
          <c:tx>
            <c:v>Wiek: 40-59</c:v>
          </c:tx>
          <c:val>
            <c:numRef>
              <c:f>Zbiorczy!$Z$17</c:f>
              <c:numCache>
                <c:formatCode>General</c:formatCode>
                <c:ptCount val="1"/>
                <c:pt idx="0">
                  <c:v>3.4533333333333331</c:v>
                </c:pt>
              </c:numCache>
            </c:numRef>
          </c:val>
        </c:ser>
        <c:ser>
          <c:idx val="8"/>
          <c:order val="10"/>
          <c:tx>
            <c:v>Wiek: 60 i powyżej</c:v>
          </c:tx>
          <c:val>
            <c:numRef>
              <c:f>Zbiorczy!$AC$17</c:f>
              <c:numCache>
                <c:formatCode>General</c:formatCode>
                <c:ptCount val="1"/>
                <c:pt idx="0">
                  <c:v>3.3714285714285661</c:v>
                </c:pt>
              </c:numCache>
            </c:numRef>
          </c:val>
        </c:ser>
        <c:axId val="119078272"/>
        <c:axId val="119186560"/>
      </c:barChart>
      <c:catAx>
        <c:axId val="119078272"/>
        <c:scaling>
          <c:orientation val="minMax"/>
        </c:scaling>
        <c:delete val="1"/>
        <c:axPos val="b"/>
        <c:tickLblPos val="none"/>
        <c:crossAx val="119186560"/>
        <c:crosses val="autoZero"/>
        <c:auto val="1"/>
        <c:lblAlgn val="ctr"/>
        <c:lblOffset val="100"/>
      </c:catAx>
      <c:valAx>
        <c:axId val="119186560"/>
        <c:scaling>
          <c:orientation val="minMax"/>
        </c:scaling>
        <c:axPos val="l"/>
        <c:numFmt formatCode="General" sourceLinked="1"/>
        <c:tickLblPos val="nextTo"/>
        <c:txPr>
          <a:bodyPr/>
          <a:lstStyle/>
          <a:p>
            <a:pPr>
              <a:defRPr sz="800"/>
            </a:pPr>
            <a:endParaRPr lang="pl-PL"/>
          </a:p>
        </c:txPr>
        <c:crossAx val="119078272"/>
        <c:crosses val="autoZero"/>
        <c:crossBetween val="between"/>
      </c:valAx>
      <c:spPr>
        <a:solidFill>
          <a:sysClr val="window" lastClr="FFFFFF">
            <a:lumMod val="95000"/>
          </a:sysClr>
        </a:solidFill>
      </c:spPr>
    </c:plotArea>
    <c:legend>
      <c:legendPos val="b"/>
      <c:legendEntry>
        <c:idx val="0"/>
        <c:delete val="1"/>
      </c:legendEntry>
      <c:legendEntry>
        <c:idx val="1"/>
        <c:delete val="1"/>
      </c:legendEntry>
      <c:legendEntry>
        <c:idx val="2"/>
        <c:delete val="1"/>
      </c:legendEntry>
      <c:legendEntry>
        <c:idx val="6"/>
        <c:delete val="1"/>
      </c:legendEntry>
      <c:layout>
        <c:manualLayout>
          <c:xMode val="edge"/>
          <c:yMode val="edge"/>
          <c:x val="4.5532562708646182E-2"/>
          <c:y val="0.75711299180864267"/>
          <c:w val="0.93984425525490611"/>
          <c:h val="0.22264645101653771"/>
        </c:manualLayout>
      </c:layout>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0.28350588120929338"/>
          <c:y val="0.19347604349835584"/>
          <c:w val="0.43802580233026439"/>
          <c:h val="0.67025717579434441"/>
        </c:manualLayout>
      </c:layout>
      <c:radarChart>
        <c:radarStyle val="filled"/>
        <c:ser>
          <c:idx val="0"/>
          <c:order val="0"/>
          <c:cat>
            <c:strRef>
              <c:f>Baza!$BS$204:$BW$204</c:f>
              <c:strCache>
                <c:ptCount val="5"/>
                <c:pt idx="0">
                  <c:v>silny ośrodek gospodarczy z dobrze rozwijającymi się przedsiębiorstwami produkcyjnymi, logistycznymi i usługowymi</c:v>
                </c:pt>
                <c:pt idx="1">
                  <c:v>miejsce, które przyciąga nowych mieszkańców atrakcyjnymi warunkami do zamieszkania w spokoju, pośród zieleni, bez uciążliwych zakładów i ruchu</c:v>
                </c:pt>
                <c:pt idx="2">
                  <c:v>ośrodek sportu i rekreacji, turystyki i kultury, z bogatą bazą i infrastrukturą oraz dobrze wypromowanymi imprezami sportowo-rekreacyjnymi i kulturalnymi</c:v>
                </c:pt>
                <c:pt idx="3">
                  <c:v>utrzymująca status quo (bez zmian), nienastawiona na zbyt dynamiczny rozwój w jakimkolwiek kierunku, najwyżej poprawiająca warunki życia obecnych mieszkańców</c:v>
                </c:pt>
                <c:pt idx="4">
                  <c:v>obszar dynamicznie rozwijającego się rolnictwa, w tym także ekologicznego</c:v>
                </c:pt>
              </c:strCache>
            </c:strRef>
          </c:cat>
          <c:val>
            <c:numRef>
              <c:f>Baza!$BS$205:$BW$205</c:f>
              <c:numCache>
                <c:formatCode>0.0</c:formatCode>
                <c:ptCount val="5"/>
                <c:pt idx="0">
                  <c:v>7.4848484848484924</c:v>
                </c:pt>
                <c:pt idx="1">
                  <c:v>7.7222222222222223</c:v>
                </c:pt>
                <c:pt idx="2">
                  <c:v>7.9848484848484924</c:v>
                </c:pt>
                <c:pt idx="3">
                  <c:v>5.0909090909090908</c:v>
                </c:pt>
                <c:pt idx="4">
                  <c:v>6.9747474747474794</c:v>
                </c:pt>
              </c:numCache>
            </c:numRef>
          </c:val>
        </c:ser>
        <c:axId val="119580544"/>
        <c:axId val="119582080"/>
      </c:radarChart>
      <c:catAx>
        <c:axId val="119580544"/>
        <c:scaling>
          <c:orientation val="minMax"/>
        </c:scaling>
        <c:axPos val="b"/>
        <c:majorGridlines/>
        <c:tickLblPos val="nextTo"/>
        <c:txPr>
          <a:bodyPr/>
          <a:lstStyle/>
          <a:p>
            <a:pPr>
              <a:defRPr sz="900"/>
            </a:pPr>
            <a:endParaRPr lang="pl-PL"/>
          </a:p>
        </c:txPr>
        <c:crossAx val="119582080"/>
        <c:crosses val="autoZero"/>
        <c:auto val="1"/>
        <c:lblAlgn val="ctr"/>
        <c:lblOffset val="100"/>
      </c:catAx>
      <c:valAx>
        <c:axId val="119582080"/>
        <c:scaling>
          <c:orientation val="minMax"/>
        </c:scaling>
        <c:axPos val="l"/>
        <c:majorGridlines>
          <c:spPr>
            <a:ln>
              <a:solidFill>
                <a:schemeClr val="tx1"/>
              </a:solidFill>
            </a:ln>
          </c:spPr>
        </c:majorGridlines>
        <c:numFmt formatCode="0.0" sourceLinked="1"/>
        <c:majorTickMark val="cross"/>
        <c:tickLblPos val="nextTo"/>
        <c:txPr>
          <a:bodyPr/>
          <a:lstStyle/>
          <a:p>
            <a:pPr>
              <a:defRPr sz="900"/>
            </a:pPr>
            <a:endParaRPr lang="pl-PL"/>
          </a:p>
        </c:txPr>
        <c:crossAx val="119580544"/>
        <c:crosses val="autoZero"/>
        <c:crossBetween val="between"/>
      </c:valAx>
      <c:spPr>
        <a:solidFill>
          <a:sysClr val="window" lastClr="FFFFFF">
            <a:lumMod val="95000"/>
          </a:sysClr>
        </a:solidFill>
      </c:spPr>
    </c:plotArea>
    <c:plotVisOnly val="1"/>
  </c:chart>
  <c:spPr>
    <a:solidFill>
      <a:sysClr val="window" lastClr="FFFFFF">
        <a:lumMod val="95000"/>
      </a:sysClr>
    </a:solidFill>
    <a:ln>
      <a:noFill/>
    </a:ln>
  </c:sp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clustered"/>
        <c:ser>
          <c:idx val="0"/>
          <c:order val="0"/>
          <c:cat>
            <c:strRef>
              <c:f>Baza!$A$104:$A$111</c:f>
              <c:strCache>
                <c:ptCount val="8"/>
                <c:pt idx="0">
                  <c:v>Wykształcenie poniżej wyższego</c:v>
                </c:pt>
                <c:pt idx="1">
                  <c:v>Wykształcenie wyższe</c:v>
                </c:pt>
                <c:pt idx="3">
                  <c:v>Wiek 25-39</c:v>
                </c:pt>
                <c:pt idx="4">
                  <c:v>Wiek 40-55</c:v>
                </c:pt>
                <c:pt idx="6">
                  <c:v>Kobiety</c:v>
                </c:pt>
                <c:pt idx="7">
                  <c:v>Mężczyźni</c:v>
                </c:pt>
              </c:strCache>
            </c:strRef>
          </c:cat>
          <c:val>
            <c:numRef>
              <c:f>Baza!$C$104:$C$111</c:f>
              <c:numCache>
                <c:formatCode>0%</c:formatCode>
                <c:ptCount val="8"/>
                <c:pt idx="0">
                  <c:v>0.73000000000000065</c:v>
                </c:pt>
                <c:pt idx="1">
                  <c:v>0.27</c:v>
                </c:pt>
                <c:pt idx="3">
                  <c:v>0.49000000000000032</c:v>
                </c:pt>
                <c:pt idx="4">
                  <c:v>0.51</c:v>
                </c:pt>
                <c:pt idx="6">
                  <c:v>0.51</c:v>
                </c:pt>
                <c:pt idx="7">
                  <c:v>0.49000000000000032</c:v>
                </c:pt>
              </c:numCache>
            </c:numRef>
          </c:val>
        </c:ser>
        <c:axId val="119888128"/>
        <c:axId val="119898112"/>
      </c:barChart>
      <c:catAx>
        <c:axId val="119888128"/>
        <c:scaling>
          <c:orientation val="minMax"/>
        </c:scaling>
        <c:axPos val="b"/>
        <c:tickLblPos val="nextTo"/>
        <c:txPr>
          <a:bodyPr rot="0"/>
          <a:lstStyle/>
          <a:p>
            <a:pPr>
              <a:defRPr sz="800"/>
            </a:pPr>
            <a:endParaRPr lang="pl-PL"/>
          </a:p>
        </c:txPr>
        <c:crossAx val="119898112"/>
        <c:crosses val="autoZero"/>
        <c:auto val="1"/>
        <c:lblAlgn val="ctr"/>
        <c:lblOffset val="100"/>
      </c:catAx>
      <c:valAx>
        <c:axId val="119898112"/>
        <c:scaling>
          <c:orientation val="minMax"/>
        </c:scaling>
        <c:axPos val="l"/>
        <c:majorGridlines/>
        <c:numFmt formatCode="0%" sourceLinked="1"/>
        <c:tickLblPos val="nextTo"/>
        <c:txPr>
          <a:bodyPr/>
          <a:lstStyle/>
          <a:p>
            <a:pPr>
              <a:defRPr sz="800"/>
            </a:pPr>
            <a:endParaRPr lang="pl-PL"/>
          </a:p>
        </c:txPr>
        <c:crossAx val="119888128"/>
        <c:crosses val="autoZero"/>
        <c:crossBetween val="between"/>
      </c:valAx>
      <c:spPr>
        <a:solidFill>
          <a:schemeClr val="bg1">
            <a:lumMod val="95000"/>
          </a:schemeClr>
        </a:solidFill>
      </c:spPr>
    </c:plotArea>
    <c:plotVisOnly val="1"/>
  </c:chart>
  <c:spPr>
    <a:solidFill>
      <a:sysClr val="window" lastClr="FFFFFF">
        <a:lumMod val="95000"/>
      </a:sysClr>
    </a:solidFill>
    <a:ln>
      <a:noFill/>
    </a:ln>
  </c:sp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clustered"/>
        <c:ser>
          <c:idx val="0"/>
          <c:order val="0"/>
          <c:dPt>
            <c:idx val="11"/>
            <c:spPr>
              <a:solidFill>
                <a:srgbClr val="FF0000"/>
              </a:solidFill>
            </c:spPr>
          </c:dPt>
          <c:cat>
            <c:strRef>
              <c:f>Baza!$E$104:$U$104</c:f>
              <c:strCache>
                <c:ptCount val="17"/>
                <c:pt idx="0">
                  <c:v>Luboń </c:v>
                </c:pt>
                <c:pt idx="1">
                  <c:v>Puszczykowo</c:v>
                </c:pt>
                <c:pt idx="2">
                  <c:v>Buk</c:v>
                </c:pt>
                <c:pt idx="3">
                  <c:v>Czerwonak</c:v>
                </c:pt>
                <c:pt idx="4">
                  <c:v>Dopiewo</c:v>
                </c:pt>
                <c:pt idx="5">
                  <c:v>Kleszczewo</c:v>
                </c:pt>
                <c:pt idx="6">
                  <c:v>Komorniki</c:v>
                </c:pt>
                <c:pt idx="7">
                  <c:v>Kostrzyn</c:v>
                </c:pt>
                <c:pt idx="8">
                  <c:v>Kórnik</c:v>
                </c:pt>
                <c:pt idx="9">
                  <c:v>Mosina</c:v>
                </c:pt>
                <c:pt idx="10">
                  <c:v>Murowana Goślina</c:v>
                </c:pt>
                <c:pt idx="11">
                  <c:v>Pobiedziska</c:v>
                </c:pt>
                <c:pt idx="12">
                  <c:v>Stęszew</c:v>
                </c:pt>
                <c:pt idx="13">
                  <c:v>Swarzędz</c:v>
                </c:pt>
                <c:pt idx="14">
                  <c:v>Rokietnica</c:v>
                </c:pt>
                <c:pt idx="15">
                  <c:v>Suchy Las</c:v>
                </c:pt>
                <c:pt idx="16">
                  <c:v>Tarnowo Podgórne</c:v>
                </c:pt>
              </c:strCache>
            </c:strRef>
          </c:cat>
          <c:val>
            <c:numRef>
              <c:f>Baza!$E$105:$U$105</c:f>
              <c:numCache>
                <c:formatCode>0%</c:formatCode>
                <c:ptCount val="17"/>
                <c:pt idx="0">
                  <c:v>0.32000000000000045</c:v>
                </c:pt>
                <c:pt idx="1">
                  <c:v>0.32000000000000045</c:v>
                </c:pt>
                <c:pt idx="2">
                  <c:v>4.0000000000000022E-2</c:v>
                </c:pt>
                <c:pt idx="3">
                  <c:v>0.21000000000000019</c:v>
                </c:pt>
                <c:pt idx="4">
                  <c:v>6.0000000000000032E-2</c:v>
                </c:pt>
                <c:pt idx="5">
                  <c:v>4.0000000000000022E-2</c:v>
                </c:pt>
                <c:pt idx="6">
                  <c:v>0.16</c:v>
                </c:pt>
                <c:pt idx="7">
                  <c:v>3.0000000000000002E-2</c:v>
                </c:pt>
                <c:pt idx="8">
                  <c:v>0.19</c:v>
                </c:pt>
                <c:pt idx="9">
                  <c:v>0.2</c:v>
                </c:pt>
                <c:pt idx="10">
                  <c:v>0.14000000000000001</c:v>
                </c:pt>
                <c:pt idx="11">
                  <c:v>0.21000000000000019</c:v>
                </c:pt>
                <c:pt idx="12">
                  <c:v>9.0000000000000024E-2</c:v>
                </c:pt>
                <c:pt idx="13">
                  <c:v>0.33000000000000052</c:v>
                </c:pt>
                <c:pt idx="14">
                  <c:v>6.0000000000000032E-2</c:v>
                </c:pt>
                <c:pt idx="15">
                  <c:v>0.29000000000000031</c:v>
                </c:pt>
                <c:pt idx="16">
                  <c:v>0.29000000000000031</c:v>
                </c:pt>
              </c:numCache>
            </c:numRef>
          </c:val>
        </c:ser>
        <c:axId val="120024064"/>
        <c:axId val="120029952"/>
      </c:barChart>
      <c:catAx>
        <c:axId val="120024064"/>
        <c:scaling>
          <c:orientation val="minMax"/>
        </c:scaling>
        <c:axPos val="b"/>
        <c:tickLblPos val="nextTo"/>
        <c:txPr>
          <a:bodyPr/>
          <a:lstStyle/>
          <a:p>
            <a:pPr>
              <a:defRPr sz="900"/>
            </a:pPr>
            <a:endParaRPr lang="pl-PL"/>
          </a:p>
        </c:txPr>
        <c:crossAx val="120029952"/>
        <c:crosses val="autoZero"/>
        <c:auto val="1"/>
        <c:lblAlgn val="ctr"/>
        <c:lblOffset val="100"/>
      </c:catAx>
      <c:valAx>
        <c:axId val="120029952"/>
        <c:scaling>
          <c:orientation val="minMax"/>
        </c:scaling>
        <c:axPos val="l"/>
        <c:majorGridlines/>
        <c:numFmt formatCode="0%" sourceLinked="1"/>
        <c:tickLblPos val="nextTo"/>
        <c:txPr>
          <a:bodyPr/>
          <a:lstStyle/>
          <a:p>
            <a:pPr>
              <a:defRPr sz="800"/>
            </a:pPr>
            <a:endParaRPr lang="pl-PL"/>
          </a:p>
        </c:txPr>
        <c:crossAx val="120024064"/>
        <c:crosses val="autoZero"/>
        <c:crossBetween val="between"/>
      </c:valAx>
      <c:spPr>
        <a:solidFill>
          <a:sysClr val="window" lastClr="FFFFFF">
            <a:lumMod val="95000"/>
          </a:sysClr>
        </a:solidFill>
      </c:spPr>
    </c:plotArea>
    <c:plotVisOnly val="1"/>
  </c:chart>
  <c:spPr>
    <a:solidFill>
      <a:sysClr val="window" lastClr="FFFFFF">
        <a:lumMod val="95000"/>
      </a:sysClr>
    </a:solidFill>
    <a:ln>
      <a:noFill/>
    </a:ln>
  </c:sp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clustered"/>
        <c:ser>
          <c:idx val="0"/>
          <c:order val="0"/>
          <c:dPt>
            <c:idx val="6"/>
            <c:spPr>
              <a:solidFill>
                <a:schemeClr val="accent3"/>
              </a:solidFill>
            </c:spPr>
          </c:dPt>
          <c:dPt>
            <c:idx val="7"/>
            <c:spPr>
              <a:solidFill>
                <a:schemeClr val="accent3"/>
              </a:solidFill>
            </c:spPr>
          </c:dPt>
          <c:cat>
            <c:strRef>
              <c:f>Baza!$U$106:$U$113</c:f>
              <c:strCache>
                <c:ptCount val="8"/>
                <c:pt idx="0">
                  <c:v>Zdecydowanie Nie</c:v>
                </c:pt>
                <c:pt idx="1">
                  <c:v>Nie</c:v>
                </c:pt>
                <c:pt idx="2">
                  <c:v>Tak</c:v>
                </c:pt>
                <c:pt idx="3">
                  <c:v>Zdecydowanie Tak</c:v>
                </c:pt>
                <c:pt idx="4">
                  <c:v>Nie potrafię powiedzieć</c:v>
                </c:pt>
                <c:pt idx="6">
                  <c:v>Łącznie Nie</c:v>
                </c:pt>
                <c:pt idx="7">
                  <c:v>Łącznie Tak</c:v>
                </c:pt>
              </c:strCache>
            </c:strRef>
          </c:cat>
          <c:val>
            <c:numRef>
              <c:f>Baza!$W$106:$W$113</c:f>
              <c:numCache>
                <c:formatCode>0%</c:formatCode>
                <c:ptCount val="8"/>
                <c:pt idx="0">
                  <c:v>4.0000000000000022E-2</c:v>
                </c:pt>
                <c:pt idx="1">
                  <c:v>0.16</c:v>
                </c:pt>
                <c:pt idx="2">
                  <c:v>6.0000000000000032E-2</c:v>
                </c:pt>
                <c:pt idx="3">
                  <c:v>0.46</c:v>
                </c:pt>
                <c:pt idx="4">
                  <c:v>0.28000000000000008</c:v>
                </c:pt>
                <c:pt idx="6">
                  <c:v>0.2</c:v>
                </c:pt>
                <c:pt idx="7">
                  <c:v>0.52</c:v>
                </c:pt>
              </c:numCache>
            </c:numRef>
          </c:val>
        </c:ser>
        <c:axId val="120172928"/>
        <c:axId val="120174464"/>
      </c:barChart>
      <c:catAx>
        <c:axId val="120172928"/>
        <c:scaling>
          <c:orientation val="minMax"/>
        </c:scaling>
        <c:axPos val="b"/>
        <c:tickLblPos val="nextTo"/>
        <c:txPr>
          <a:bodyPr rot="0"/>
          <a:lstStyle/>
          <a:p>
            <a:pPr>
              <a:defRPr sz="800"/>
            </a:pPr>
            <a:endParaRPr lang="pl-PL"/>
          </a:p>
        </c:txPr>
        <c:crossAx val="120174464"/>
        <c:crosses val="autoZero"/>
        <c:auto val="1"/>
        <c:lblAlgn val="ctr"/>
        <c:lblOffset val="100"/>
      </c:catAx>
      <c:valAx>
        <c:axId val="120174464"/>
        <c:scaling>
          <c:orientation val="minMax"/>
        </c:scaling>
        <c:axPos val="l"/>
        <c:majorGridlines/>
        <c:numFmt formatCode="0%" sourceLinked="1"/>
        <c:tickLblPos val="nextTo"/>
        <c:txPr>
          <a:bodyPr/>
          <a:lstStyle/>
          <a:p>
            <a:pPr>
              <a:defRPr sz="800"/>
            </a:pPr>
            <a:endParaRPr lang="pl-PL"/>
          </a:p>
        </c:txPr>
        <c:crossAx val="120172928"/>
        <c:crosses val="autoZero"/>
        <c:crossBetween val="between"/>
        <c:majorUnit val="0.05"/>
      </c:valAx>
      <c:spPr>
        <a:solidFill>
          <a:sysClr val="window" lastClr="FFFFFF">
            <a:lumMod val="95000"/>
          </a:sysClr>
        </a:solidFill>
      </c:spPr>
    </c:plotArea>
    <c:plotVisOnly val="1"/>
  </c:chart>
  <c:spPr>
    <a:solidFill>
      <a:sysClr val="window" lastClr="FFFFFF">
        <a:lumMod val="95000"/>
      </a:sysClr>
    </a:solidFill>
    <a:ln>
      <a:noFill/>
    </a:ln>
  </c:sp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0.3064622130567019"/>
          <c:y val="0.13595281480261584"/>
          <c:w val="0.39920079434515215"/>
          <c:h val="0.68186169562838483"/>
        </c:manualLayout>
      </c:layout>
      <c:radarChart>
        <c:radarStyle val="filled"/>
        <c:ser>
          <c:idx val="0"/>
          <c:order val="0"/>
          <c:cat>
            <c:strRef>
              <c:f>Baza!$Y$104:$AD$104</c:f>
              <c:strCache>
                <c:ptCount val="6"/>
                <c:pt idx="0">
                  <c:v>Pod warunkiem, że zamieszkałabym/zamieszkałbym w domu jednorodzinnym lub w większym mieszkaniu</c:v>
                </c:pt>
                <c:pt idx="1">
                  <c:v>Pod warunkiem, że nie musiałabym/nie musiałbym dojeżdżać do pracy zbyt długo i byłoby dużo możliwości łatwego dojazdu (samochodem lub komunikacją)</c:v>
                </c:pt>
                <c:pt idx="2">
                  <c:v>Pod warunkiem, że byłoby tam odpowiednie przedszkole lub szkoła dla mojego lub moich dzieci</c:v>
                </c:pt>
                <c:pt idx="3">
                  <c:v>Pod warunkiem, że nadal swobodnie mogłabym/mógłbym korzystać z kultury, rozrywki, pubów, restauracji, rekreacji, do których jestem przyzwyczajona/y</c:v>
                </c:pt>
                <c:pt idx="4">
                  <c:v>Pod warunkiem, że nadal swobodnie mogłabym/mógłbym robić zakupy w sklepach, do których jestem przyzwyczajona/y</c:v>
                </c:pt>
                <c:pt idx="5">
                  <c:v>Pod warunkiem, że okolica była ładna, dużo natury i przestrzeni</c:v>
                </c:pt>
              </c:strCache>
            </c:strRef>
          </c:cat>
          <c:val>
            <c:numRef>
              <c:f>Baza!$Y$105:$AD$105</c:f>
              <c:numCache>
                <c:formatCode>0%</c:formatCode>
                <c:ptCount val="6"/>
                <c:pt idx="0">
                  <c:v>0.84615384615384714</c:v>
                </c:pt>
                <c:pt idx="1">
                  <c:v>0.5</c:v>
                </c:pt>
                <c:pt idx="2">
                  <c:v>0.21153846153846195</c:v>
                </c:pt>
                <c:pt idx="3">
                  <c:v>0.21153846153846195</c:v>
                </c:pt>
                <c:pt idx="4">
                  <c:v>0.1346153846153848</c:v>
                </c:pt>
                <c:pt idx="5">
                  <c:v>0.36538461538461675</c:v>
                </c:pt>
              </c:numCache>
            </c:numRef>
          </c:val>
        </c:ser>
        <c:axId val="120238848"/>
        <c:axId val="120240384"/>
      </c:radarChart>
      <c:catAx>
        <c:axId val="120238848"/>
        <c:scaling>
          <c:orientation val="minMax"/>
        </c:scaling>
        <c:axPos val="b"/>
        <c:majorGridlines/>
        <c:tickLblPos val="nextTo"/>
        <c:txPr>
          <a:bodyPr/>
          <a:lstStyle/>
          <a:p>
            <a:pPr>
              <a:defRPr sz="800"/>
            </a:pPr>
            <a:endParaRPr lang="pl-PL"/>
          </a:p>
        </c:txPr>
        <c:crossAx val="120240384"/>
        <c:crosses val="autoZero"/>
        <c:auto val="1"/>
        <c:lblAlgn val="ctr"/>
        <c:lblOffset val="100"/>
      </c:catAx>
      <c:valAx>
        <c:axId val="120240384"/>
        <c:scaling>
          <c:orientation val="minMax"/>
        </c:scaling>
        <c:axPos val="l"/>
        <c:majorGridlines/>
        <c:numFmt formatCode="0%" sourceLinked="1"/>
        <c:majorTickMark val="cross"/>
        <c:tickLblPos val="nextTo"/>
        <c:txPr>
          <a:bodyPr/>
          <a:lstStyle/>
          <a:p>
            <a:pPr>
              <a:defRPr sz="900"/>
            </a:pPr>
            <a:endParaRPr lang="pl-PL"/>
          </a:p>
        </c:txPr>
        <c:crossAx val="120238848"/>
        <c:crosses val="autoZero"/>
        <c:crossBetween val="between"/>
      </c:valAx>
      <c:spPr>
        <a:solidFill>
          <a:sysClr val="window" lastClr="FFFFFF">
            <a:lumMod val="95000"/>
          </a:sysClr>
        </a:solidFill>
      </c:spPr>
    </c:plotArea>
    <c:plotVisOnly val="1"/>
  </c:chart>
  <c:spPr>
    <a:solidFill>
      <a:sysClr val="window" lastClr="FFFFFF">
        <a:lumMod val="95000"/>
      </a:sysClr>
    </a:solidFill>
    <a:ln>
      <a:noFill/>
    </a:ln>
  </c:sp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clustered"/>
        <c:ser>
          <c:idx val="0"/>
          <c:order val="0"/>
          <c:cat>
            <c:strRef>
              <c:f>Baza!$AF$124:$AF$132</c:f>
              <c:strCache>
                <c:ptCount val="9"/>
                <c:pt idx="0">
                  <c:v>Co tydzień</c:v>
                </c:pt>
                <c:pt idx="1">
                  <c:v>Raz na dwa tygodnie</c:v>
                </c:pt>
                <c:pt idx="2">
                  <c:v>Raz na miesiąc</c:v>
                </c:pt>
                <c:pt idx="3">
                  <c:v>Raz na dwa miesiące</c:v>
                </c:pt>
                <c:pt idx="4">
                  <c:v>Raz na trzy miesiące</c:v>
                </c:pt>
                <c:pt idx="5">
                  <c:v>Raz na pół roku</c:v>
                </c:pt>
                <c:pt idx="6">
                  <c:v>Raz na rok</c:v>
                </c:pt>
                <c:pt idx="7">
                  <c:v>Rzadziej niż raz na rok</c:v>
                </c:pt>
                <c:pt idx="8">
                  <c:v>W ogóle</c:v>
                </c:pt>
              </c:strCache>
            </c:strRef>
          </c:cat>
          <c:val>
            <c:numRef>
              <c:f>Baza!$AH$124:$AH$132</c:f>
              <c:numCache>
                <c:formatCode>0%</c:formatCode>
                <c:ptCount val="9"/>
                <c:pt idx="0">
                  <c:v>7.0000000000000021E-2</c:v>
                </c:pt>
                <c:pt idx="1">
                  <c:v>0.15000000000000019</c:v>
                </c:pt>
                <c:pt idx="2">
                  <c:v>0.24000000000000019</c:v>
                </c:pt>
                <c:pt idx="3">
                  <c:v>0.16</c:v>
                </c:pt>
                <c:pt idx="4">
                  <c:v>0.11</c:v>
                </c:pt>
                <c:pt idx="5">
                  <c:v>0.11</c:v>
                </c:pt>
                <c:pt idx="6">
                  <c:v>4.0000000000000022E-2</c:v>
                </c:pt>
                <c:pt idx="7">
                  <c:v>4.0000000000000022E-2</c:v>
                </c:pt>
                <c:pt idx="8">
                  <c:v>8.0000000000000043E-2</c:v>
                </c:pt>
              </c:numCache>
            </c:numRef>
          </c:val>
        </c:ser>
        <c:axId val="120345728"/>
        <c:axId val="120347264"/>
      </c:barChart>
      <c:catAx>
        <c:axId val="120345728"/>
        <c:scaling>
          <c:orientation val="minMax"/>
        </c:scaling>
        <c:axPos val="b"/>
        <c:tickLblPos val="nextTo"/>
        <c:txPr>
          <a:bodyPr/>
          <a:lstStyle/>
          <a:p>
            <a:pPr>
              <a:defRPr sz="900"/>
            </a:pPr>
            <a:endParaRPr lang="pl-PL"/>
          </a:p>
        </c:txPr>
        <c:crossAx val="120347264"/>
        <c:crosses val="autoZero"/>
        <c:auto val="1"/>
        <c:lblAlgn val="ctr"/>
        <c:lblOffset val="100"/>
      </c:catAx>
      <c:valAx>
        <c:axId val="120347264"/>
        <c:scaling>
          <c:orientation val="minMax"/>
          <c:max val="0.25"/>
        </c:scaling>
        <c:axPos val="l"/>
        <c:majorGridlines/>
        <c:numFmt formatCode="0%" sourceLinked="0"/>
        <c:tickLblPos val="nextTo"/>
        <c:txPr>
          <a:bodyPr/>
          <a:lstStyle/>
          <a:p>
            <a:pPr>
              <a:defRPr sz="800"/>
            </a:pPr>
            <a:endParaRPr lang="pl-PL"/>
          </a:p>
        </c:txPr>
        <c:crossAx val="120345728"/>
        <c:crosses val="autoZero"/>
        <c:crossBetween val="between"/>
      </c:valAx>
      <c:spPr>
        <a:solidFill>
          <a:sysClr val="window" lastClr="FFFFFF">
            <a:lumMod val="95000"/>
          </a:sysClr>
        </a:solidFill>
      </c:spPr>
    </c:plotArea>
    <c:plotVisOnly val="1"/>
  </c:chart>
  <c:spPr>
    <a:solidFill>
      <a:sysClr val="window" lastClr="FFFFFF">
        <a:lumMod val="95000"/>
      </a:sysClr>
    </a:solid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000"/>
              <a:t>Bezrobotni zarejestrowani</a:t>
            </a:r>
            <a:r>
              <a:rPr lang="pl-PL" sz="1000" baseline="0"/>
              <a:t> </a:t>
            </a:r>
            <a:r>
              <a:rPr lang="pl-PL" sz="1000"/>
              <a:t>według wieku</a:t>
            </a:r>
            <a:br>
              <a:rPr lang="pl-PL" sz="1000"/>
            </a:br>
            <a:r>
              <a:rPr lang="pl-PL" sz="1000"/>
              <a:t> w 2005 r. i 2010 r.</a:t>
            </a:r>
          </a:p>
        </c:rich>
      </c:tx>
    </c:title>
    <c:plotArea>
      <c:layout>
        <c:manualLayout>
          <c:layoutTarget val="inner"/>
          <c:xMode val="edge"/>
          <c:yMode val="edge"/>
          <c:x val="3.6308418153468268E-2"/>
          <c:y val="0.1961846006855999"/>
          <c:w val="0.67161957634005454"/>
          <c:h val="0.7782257628092808"/>
        </c:manualLayout>
      </c:layout>
      <c:doughnutChart>
        <c:varyColors val="1"/>
        <c:ser>
          <c:idx val="0"/>
          <c:order val="0"/>
          <c:tx>
            <c:v>2003 r.</c:v>
          </c:tx>
          <c:dLbls>
            <c:numFmt formatCode="0.0%" sourceLinked="0"/>
            <c:txPr>
              <a:bodyPr/>
              <a:lstStyle/>
              <a:p>
                <a:pPr>
                  <a:defRPr sz="900"/>
                </a:pPr>
                <a:endParaRPr lang="pl-PL"/>
              </a:p>
            </c:txPr>
            <c:showPercent val="1"/>
          </c:dLbls>
          <c:cat>
            <c:strRef>
              <c:f>'Dane wg podgr. cech'!$B$11:$B$15</c:f>
              <c:strCache>
                <c:ptCount val="5"/>
                <c:pt idx="0">
                  <c:v>24 i mniej</c:v>
                </c:pt>
                <c:pt idx="1">
                  <c:v>25-34</c:v>
                </c:pt>
                <c:pt idx="2">
                  <c:v>35-44</c:v>
                </c:pt>
                <c:pt idx="3">
                  <c:v>45-54</c:v>
                </c:pt>
                <c:pt idx="4">
                  <c:v>55 i więcej</c:v>
                </c:pt>
              </c:strCache>
            </c:strRef>
          </c:cat>
          <c:val>
            <c:numRef>
              <c:f>'Dane wg podgr. cech'!$D$11:$D$15</c:f>
              <c:numCache>
                <c:formatCode>#,##0</c:formatCode>
                <c:ptCount val="5"/>
                <c:pt idx="0">
                  <c:v>193</c:v>
                </c:pt>
                <c:pt idx="1">
                  <c:v>196</c:v>
                </c:pt>
                <c:pt idx="2">
                  <c:v>163</c:v>
                </c:pt>
                <c:pt idx="3">
                  <c:v>210</c:v>
                </c:pt>
                <c:pt idx="4">
                  <c:v>42</c:v>
                </c:pt>
              </c:numCache>
            </c:numRef>
          </c:val>
        </c:ser>
        <c:ser>
          <c:idx val="1"/>
          <c:order val="1"/>
          <c:tx>
            <c:v>2010 r.</c:v>
          </c:tx>
          <c:dLbls>
            <c:numFmt formatCode="0.0%" sourceLinked="0"/>
            <c:txPr>
              <a:bodyPr/>
              <a:lstStyle/>
              <a:p>
                <a:pPr>
                  <a:defRPr sz="900"/>
                </a:pPr>
                <a:endParaRPr lang="pl-PL"/>
              </a:p>
            </c:txPr>
            <c:showPercent val="1"/>
          </c:dLbls>
          <c:cat>
            <c:strRef>
              <c:f>'Dane wg podgr. cech'!$B$11:$B$15</c:f>
              <c:strCache>
                <c:ptCount val="5"/>
                <c:pt idx="0">
                  <c:v>24 i mniej</c:v>
                </c:pt>
                <c:pt idx="1">
                  <c:v>25-34</c:v>
                </c:pt>
                <c:pt idx="2">
                  <c:v>35-44</c:v>
                </c:pt>
                <c:pt idx="3">
                  <c:v>45-54</c:v>
                </c:pt>
                <c:pt idx="4">
                  <c:v>55 i więcej</c:v>
                </c:pt>
              </c:strCache>
            </c:strRef>
          </c:cat>
          <c:val>
            <c:numRef>
              <c:f>'Dane wg podgr. cech'!$K$11:$K$15</c:f>
              <c:numCache>
                <c:formatCode>#,##0</c:formatCode>
                <c:ptCount val="5"/>
                <c:pt idx="0">
                  <c:v>83</c:v>
                </c:pt>
                <c:pt idx="1">
                  <c:v>90</c:v>
                </c:pt>
                <c:pt idx="2">
                  <c:v>49</c:v>
                </c:pt>
                <c:pt idx="3">
                  <c:v>73</c:v>
                </c:pt>
                <c:pt idx="4">
                  <c:v>23</c:v>
                </c:pt>
              </c:numCache>
            </c:numRef>
          </c:val>
        </c:ser>
        <c:dLbls>
          <c:showPercent val="1"/>
        </c:dLbls>
        <c:firstSliceAng val="0"/>
        <c:holeSize val="50"/>
      </c:doughnutChart>
      <c:spPr>
        <a:solidFill>
          <a:sysClr val="window" lastClr="FFFFFF">
            <a:lumMod val="95000"/>
          </a:sysClr>
        </a:solidFill>
        <a:ln w="25400">
          <a:noFill/>
        </a:ln>
      </c:spPr>
    </c:plotArea>
    <c:legend>
      <c:legendPos val="r"/>
      <c:layout>
        <c:manualLayout>
          <c:xMode val="edge"/>
          <c:yMode val="edge"/>
          <c:x val="0.77152593579046191"/>
          <c:y val="0.37944367751796415"/>
          <c:w val="0.19991033444559514"/>
          <c:h val="0.4011599590207528"/>
        </c:manualLayout>
      </c:layout>
      <c:txPr>
        <a:bodyPr/>
        <a:lstStyle/>
        <a:p>
          <a:pPr>
            <a:defRPr sz="800"/>
          </a:pPr>
          <a:endParaRPr lang="pl-PL"/>
        </a:p>
      </c:txPr>
    </c:legend>
    <c:plotVisOnly val="1"/>
    <c:dispBlanksAs val="zero"/>
  </c:chart>
  <c:spPr>
    <a:solidFill>
      <a:schemeClr val="bg1">
        <a:lumMod val="95000"/>
      </a:schemeClr>
    </a:solidFill>
    <a:ln>
      <a:noFill/>
    </a:ln>
  </c:spPr>
  <c:externalData r:id="rId1"/>
  <c:userShapes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col"/>
        <c:grouping val="clustered"/>
        <c:ser>
          <c:idx val="0"/>
          <c:order val="0"/>
          <c:cat>
            <c:strRef>
              <c:f>Baza!$AG$138:$AG$140</c:f>
              <c:strCache>
                <c:ptCount val="3"/>
                <c:pt idx="0">
                  <c:v>Sam</c:v>
                </c:pt>
                <c:pt idx="1">
                  <c:v>Z rodziną</c:v>
                </c:pt>
                <c:pt idx="2">
                  <c:v>Ze znajomymi</c:v>
                </c:pt>
              </c:strCache>
            </c:strRef>
          </c:cat>
          <c:val>
            <c:numRef>
              <c:f>Baza!$AH$138:$AH$140</c:f>
              <c:numCache>
                <c:formatCode>0%</c:formatCode>
                <c:ptCount val="3"/>
                <c:pt idx="0">
                  <c:v>2.3809523809523812E-2</c:v>
                </c:pt>
                <c:pt idx="1">
                  <c:v>0.32142857142857229</c:v>
                </c:pt>
                <c:pt idx="2">
                  <c:v>0.65476190476190477</c:v>
                </c:pt>
              </c:numCache>
            </c:numRef>
          </c:val>
        </c:ser>
        <c:axId val="120673408"/>
        <c:axId val="120674944"/>
      </c:barChart>
      <c:catAx>
        <c:axId val="120673408"/>
        <c:scaling>
          <c:orientation val="minMax"/>
        </c:scaling>
        <c:axPos val="b"/>
        <c:tickLblPos val="nextTo"/>
        <c:txPr>
          <a:bodyPr/>
          <a:lstStyle/>
          <a:p>
            <a:pPr>
              <a:defRPr sz="900"/>
            </a:pPr>
            <a:endParaRPr lang="pl-PL"/>
          </a:p>
        </c:txPr>
        <c:crossAx val="120674944"/>
        <c:crosses val="autoZero"/>
        <c:auto val="1"/>
        <c:lblAlgn val="ctr"/>
        <c:lblOffset val="100"/>
      </c:catAx>
      <c:valAx>
        <c:axId val="120674944"/>
        <c:scaling>
          <c:orientation val="minMax"/>
        </c:scaling>
        <c:axPos val="l"/>
        <c:majorGridlines/>
        <c:numFmt formatCode="0%" sourceLinked="1"/>
        <c:tickLblPos val="nextTo"/>
        <c:txPr>
          <a:bodyPr/>
          <a:lstStyle/>
          <a:p>
            <a:pPr>
              <a:defRPr sz="800"/>
            </a:pPr>
            <a:endParaRPr lang="pl-PL"/>
          </a:p>
        </c:txPr>
        <c:crossAx val="120673408"/>
        <c:crosses val="autoZero"/>
        <c:crossBetween val="between"/>
      </c:valAx>
      <c:spPr>
        <a:solidFill>
          <a:sysClr val="window" lastClr="FFFFFF">
            <a:lumMod val="95000"/>
          </a:sysClr>
        </a:solidFill>
      </c:spPr>
    </c:plotArea>
    <c:plotVisOnly val="1"/>
  </c:chart>
  <c:spPr>
    <a:solidFill>
      <a:sysClr val="window" lastClr="FFFFFF">
        <a:lumMod val="95000"/>
      </a:sysClr>
    </a:solidFill>
    <a:ln>
      <a:noFill/>
    </a:ln>
  </c:sp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4.4426230344684264E-2"/>
          <c:y val="5.3083370940176462E-2"/>
          <c:w val="0.59468349405993259"/>
          <c:h val="0.89383325811964709"/>
        </c:manualLayout>
      </c:layout>
      <c:pieChart>
        <c:varyColors val="1"/>
        <c:ser>
          <c:idx val="0"/>
          <c:order val="0"/>
          <c:dLbls>
            <c:txPr>
              <a:bodyPr/>
              <a:lstStyle/>
              <a:p>
                <a:pPr>
                  <a:defRPr sz="1200">
                    <a:solidFill>
                      <a:schemeClr val="bg1"/>
                    </a:solidFill>
                  </a:defRPr>
                </a:pPr>
                <a:endParaRPr lang="pl-PL"/>
              </a:p>
            </c:txPr>
            <c:showVal val="1"/>
            <c:showLeaderLines val="1"/>
          </c:dLbls>
          <c:cat>
            <c:strRef>
              <c:f>Baza!$A$60:$A$61</c:f>
              <c:strCache>
                <c:ptCount val="2"/>
                <c:pt idx="0">
                  <c:v>Zatrudnienie do 10 osób</c:v>
                </c:pt>
                <c:pt idx="1">
                  <c:v>Zatrudnienie powyżej 10 osób</c:v>
                </c:pt>
              </c:strCache>
            </c:strRef>
          </c:cat>
          <c:val>
            <c:numRef>
              <c:f>Baza!$B$60:$B$61</c:f>
              <c:numCache>
                <c:formatCode>0%</c:formatCode>
                <c:ptCount val="2"/>
                <c:pt idx="0">
                  <c:v>0.86000000000000054</c:v>
                </c:pt>
                <c:pt idx="1">
                  <c:v>0.14000000000000001</c:v>
                </c:pt>
              </c:numCache>
            </c:numRef>
          </c:val>
        </c:ser>
        <c:firstSliceAng val="0"/>
      </c:pieChart>
    </c:plotArea>
    <c:legend>
      <c:legendPos val="r"/>
      <c:txPr>
        <a:bodyPr/>
        <a:lstStyle/>
        <a:p>
          <a:pPr>
            <a:defRPr sz="900"/>
          </a:pPr>
          <a:endParaRPr lang="pl-PL"/>
        </a:p>
      </c:txPr>
    </c:legend>
    <c:plotVisOnly val="1"/>
  </c:chart>
  <c:spPr>
    <a:solidFill>
      <a:sysClr val="window" lastClr="FFFFFF">
        <a:lumMod val="95000"/>
      </a:sysClr>
    </a:solidFill>
    <a:ln>
      <a:noFill/>
    </a:ln>
  </c:sp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0.29869321890319261"/>
          <c:y val="3.7107476213496818E-2"/>
          <c:w val="0.63014275993278623"/>
          <c:h val="0.85885107603712363"/>
        </c:manualLayout>
      </c:layout>
      <c:barChart>
        <c:barDir val="bar"/>
        <c:grouping val="clustered"/>
        <c:ser>
          <c:idx val="0"/>
          <c:order val="0"/>
          <c:cat>
            <c:strRef>
              <c:f>Baza!$C$53:$O$53</c:f>
              <c:strCache>
                <c:ptCount val="13"/>
                <c:pt idx="0">
                  <c:v>Jakość pracy urzędników</c:v>
                </c:pt>
                <c:pt idx="1">
                  <c:v>Szybkość podejmowania decyzji administracyjnych</c:v>
                </c:pt>
                <c:pt idx="2">
                  <c:v>Jakość i dostępność do informacji o działalności urzędu miasta i gminy i jednostek gminnych</c:v>
                </c:pt>
                <c:pt idx="3">
                  <c:v>Wielkość dostępnej w gminie powierzchni pod działalność gospodarczą</c:v>
                </c:pt>
                <c:pt idx="4">
                  <c:v>Jakość dostępnej w gminie powierzchni pod działalność gospodarczą</c:v>
                </c:pt>
                <c:pt idx="5">
                  <c:v>Dostępność infrastruktury technicznej w gminie</c:v>
                </c:pt>
                <c:pt idx="6">
                  <c:v>Układ komunikacyjny</c:v>
                </c:pt>
                <c:pt idx="7">
                  <c:v>Jakość usług komunalnych</c:v>
                </c:pt>
                <c:pt idx="8">
                  <c:v>Aktywność samorządu w ułatwianiu prowadzenia działalności gospodarczej</c:v>
                </c:pt>
                <c:pt idx="9">
                  <c:v>Kwalifikacje i umiejętności mieszkańców gminy</c:v>
                </c:pt>
                <c:pt idx="10">
                  <c:v>Współpracę pomiędzy przedsiębiorstwami</c:v>
                </c:pt>
                <c:pt idx="11">
                  <c:v>Wysokość obciążeń pieniężnych zależnych od gminy</c:v>
                </c:pt>
                <c:pt idx="12">
                  <c:v>Dostępność do informacji o firmach działających na terenie gminy</c:v>
                </c:pt>
              </c:strCache>
            </c:strRef>
          </c:cat>
          <c:val>
            <c:numRef>
              <c:f>Baza!$C$54:$O$54</c:f>
              <c:numCache>
                <c:formatCode>General</c:formatCode>
                <c:ptCount val="13"/>
                <c:pt idx="0">
                  <c:v>-0.48000000000000026</c:v>
                </c:pt>
                <c:pt idx="1">
                  <c:v>-0.8</c:v>
                </c:pt>
                <c:pt idx="2">
                  <c:v>3.9</c:v>
                </c:pt>
                <c:pt idx="3">
                  <c:v>2.1</c:v>
                </c:pt>
                <c:pt idx="4">
                  <c:v>2.9249999999999998</c:v>
                </c:pt>
                <c:pt idx="5">
                  <c:v>3.7600000000000002</c:v>
                </c:pt>
                <c:pt idx="6">
                  <c:v>3.8</c:v>
                </c:pt>
                <c:pt idx="7">
                  <c:v>4.34</c:v>
                </c:pt>
                <c:pt idx="8">
                  <c:v>0.84000000000000052</c:v>
                </c:pt>
                <c:pt idx="9">
                  <c:v>3.2708333333333335</c:v>
                </c:pt>
                <c:pt idx="10">
                  <c:v>3.32</c:v>
                </c:pt>
                <c:pt idx="11">
                  <c:v>2.82</c:v>
                </c:pt>
                <c:pt idx="12">
                  <c:v>1.83673469387755</c:v>
                </c:pt>
              </c:numCache>
            </c:numRef>
          </c:val>
        </c:ser>
        <c:axId val="122420608"/>
        <c:axId val="126059648"/>
      </c:barChart>
      <c:catAx>
        <c:axId val="122420608"/>
        <c:scaling>
          <c:orientation val="minMax"/>
        </c:scaling>
        <c:axPos val="l"/>
        <c:minorTickMark val="out"/>
        <c:tickLblPos val="nextTo"/>
        <c:spPr>
          <a:ln w="31750"/>
        </c:spPr>
        <c:txPr>
          <a:bodyPr/>
          <a:lstStyle/>
          <a:p>
            <a:pPr>
              <a:defRPr sz="900"/>
            </a:pPr>
            <a:endParaRPr lang="pl-PL"/>
          </a:p>
        </c:txPr>
        <c:crossAx val="126059648"/>
        <c:crosses val="autoZero"/>
        <c:auto val="1"/>
        <c:lblAlgn val="ctr"/>
        <c:lblOffset val="100"/>
      </c:catAx>
      <c:valAx>
        <c:axId val="126059648"/>
        <c:scaling>
          <c:orientation val="minMax"/>
        </c:scaling>
        <c:axPos val="b"/>
        <c:majorGridlines/>
        <c:numFmt formatCode="General" sourceLinked="1"/>
        <c:majorTickMark val="cross"/>
        <c:tickLblPos val="nextTo"/>
        <c:txPr>
          <a:bodyPr/>
          <a:lstStyle/>
          <a:p>
            <a:pPr>
              <a:defRPr sz="900"/>
            </a:pPr>
            <a:endParaRPr lang="pl-PL"/>
          </a:p>
        </c:txPr>
        <c:crossAx val="122420608"/>
        <c:crosses val="autoZero"/>
        <c:crossBetween val="between"/>
      </c:valAx>
      <c:spPr>
        <a:solidFill>
          <a:sysClr val="window" lastClr="FFFFFF">
            <a:lumMod val="95000"/>
          </a:sysClr>
        </a:solidFill>
      </c:spPr>
    </c:plotArea>
    <c:plotVisOnly val="1"/>
  </c:chart>
  <c:spPr>
    <a:solidFill>
      <a:sysClr val="window" lastClr="FFFFFF">
        <a:lumMod val="95000"/>
      </a:sysClr>
    </a:solidFill>
    <a:ln>
      <a:noFill/>
    </a:ln>
  </c:sp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barChart>
        <c:barDir val="bar"/>
        <c:grouping val="clustered"/>
        <c:ser>
          <c:idx val="0"/>
          <c:order val="0"/>
          <c:dLbls>
            <c:txPr>
              <a:bodyPr/>
              <a:lstStyle/>
              <a:p>
                <a:pPr>
                  <a:defRPr sz="900" b="1"/>
                </a:pPr>
                <a:endParaRPr lang="pl-PL"/>
              </a:p>
            </c:txPr>
            <c:showVal val="1"/>
          </c:dLbls>
          <c:cat>
            <c:strRef>
              <c:f>Baza!$P$53:$AB$53</c:f>
              <c:strCache>
                <c:ptCount val="13"/>
                <c:pt idx="0">
                  <c:v>Jakość pracy urzędników</c:v>
                </c:pt>
                <c:pt idx="1">
                  <c:v>Szybkość podejmowania decyzji administracyjnych</c:v>
                </c:pt>
                <c:pt idx="2">
                  <c:v>Jakość i dostępność do informacji o działalności urzędu miasta i gminy i jednostek gminnych</c:v>
                </c:pt>
                <c:pt idx="3">
                  <c:v>Wielkość dostępnej w gminie powierzchni pod działalność gospodarczą</c:v>
                </c:pt>
                <c:pt idx="4">
                  <c:v>Jakość dostępnej w gminie powierzchni pod działalność gospodarczą</c:v>
                </c:pt>
                <c:pt idx="5">
                  <c:v>Dostępność infrastruktury technicznej w gminie</c:v>
                </c:pt>
                <c:pt idx="6">
                  <c:v>Układ komunikacyjny</c:v>
                </c:pt>
                <c:pt idx="7">
                  <c:v>Jakość usług komunalnych</c:v>
                </c:pt>
                <c:pt idx="8">
                  <c:v>Aktywność samorządu w ułatwianiu prowadzenia działalności gospodarczej</c:v>
                </c:pt>
                <c:pt idx="9">
                  <c:v>Kwalifikacje i umiejętności mieszkańców gminy</c:v>
                </c:pt>
                <c:pt idx="10">
                  <c:v>Współpracę pomiędzy przedsiębiorstwami</c:v>
                </c:pt>
                <c:pt idx="11">
                  <c:v>Wysokość obciążeń pieniężnych zależnych od gminy</c:v>
                </c:pt>
                <c:pt idx="12">
                  <c:v>Dostępność do informacji o firmach działających na terenie gminy</c:v>
                </c:pt>
              </c:strCache>
            </c:strRef>
          </c:cat>
          <c:val>
            <c:numRef>
              <c:f>Baza!$P$54:$AB$54</c:f>
              <c:numCache>
                <c:formatCode>General</c:formatCode>
                <c:ptCount val="13"/>
                <c:pt idx="0">
                  <c:v>4.4400000000000004</c:v>
                </c:pt>
                <c:pt idx="1">
                  <c:v>4.8199999999999985</c:v>
                </c:pt>
                <c:pt idx="2">
                  <c:v>2.6</c:v>
                </c:pt>
                <c:pt idx="3">
                  <c:v>2.44</c:v>
                </c:pt>
                <c:pt idx="4">
                  <c:v>3.7</c:v>
                </c:pt>
                <c:pt idx="5">
                  <c:v>4.18</c:v>
                </c:pt>
                <c:pt idx="6">
                  <c:v>4.4000000000000004</c:v>
                </c:pt>
                <c:pt idx="7">
                  <c:v>3.86</c:v>
                </c:pt>
                <c:pt idx="8">
                  <c:v>3.12</c:v>
                </c:pt>
                <c:pt idx="9">
                  <c:v>3.62</c:v>
                </c:pt>
                <c:pt idx="10">
                  <c:v>2.84</c:v>
                </c:pt>
                <c:pt idx="11">
                  <c:v>4.9000000000000004</c:v>
                </c:pt>
                <c:pt idx="12">
                  <c:v>2.14</c:v>
                </c:pt>
              </c:numCache>
            </c:numRef>
          </c:val>
        </c:ser>
        <c:axId val="126099840"/>
        <c:axId val="126101376"/>
      </c:barChart>
      <c:catAx>
        <c:axId val="126099840"/>
        <c:scaling>
          <c:orientation val="minMax"/>
        </c:scaling>
        <c:axPos val="l"/>
        <c:minorTickMark val="out"/>
        <c:tickLblPos val="nextTo"/>
        <c:txPr>
          <a:bodyPr/>
          <a:lstStyle/>
          <a:p>
            <a:pPr>
              <a:defRPr sz="800"/>
            </a:pPr>
            <a:endParaRPr lang="pl-PL"/>
          </a:p>
        </c:txPr>
        <c:crossAx val="126101376"/>
        <c:crosses val="autoZero"/>
        <c:auto val="1"/>
        <c:lblAlgn val="ctr"/>
        <c:lblOffset val="100"/>
      </c:catAx>
      <c:valAx>
        <c:axId val="126101376"/>
        <c:scaling>
          <c:orientation val="minMax"/>
        </c:scaling>
        <c:axPos val="b"/>
        <c:majorGridlines/>
        <c:numFmt formatCode="General" sourceLinked="1"/>
        <c:majorTickMark val="cross"/>
        <c:tickLblPos val="nextTo"/>
        <c:txPr>
          <a:bodyPr/>
          <a:lstStyle/>
          <a:p>
            <a:pPr>
              <a:defRPr sz="900"/>
            </a:pPr>
            <a:endParaRPr lang="pl-PL"/>
          </a:p>
        </c:txPr>
        <c:crossAx val="126099840"/>
        <c:crosses val="autoZero"/>
        <c:crossBetween val="between"/>
      </c:valAx>
      <c:spPr>
        <a:solidFill>
          <a:sysClr val="window" lastClr="FFFFFF">
            <a:lumMod val="95000"/>
          </a:sysClr>
        </a:solidFill>
      </c:spPr>
    </c:plotArea>
    <c:plotVisOnly val="1"/>
  </c:chart>
  <c:spPr>
    <a:solidFill>
      <a:sysClr val="window" lastClr="FFFFFF">
        <a:lumMod val="95000"/>
      </a:sysClr>
    </a:solid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style val="26"/>
  <c:chart>
    <c:title>
      <c:tx>
        <c:rich>
          <a:bodyPr/>
          <a:lstStyle/>
          <a:p>
            <a:pPr>
              <a:defRPr/>
            </a:pPr>
            <a:r>
              <a:rPr lang="pl-PL" sz="1000"/>
              <a:t>Bezrobotni zarejestrowani według poziomu wykształcenia w 2010 r.</a:t>
            </a:r>
          </a:p>
        </c:rich>
      </c:tx>
    </c:title>
    <c:plotArea>
      <c:layout>
        <c:manualLayout>
          <c:layoutTarget val="inner"/>
          <c:xMode val="edge"/>
          <c:yMode val="edge"/>
          <c:x val="2.2395928538749842E-2"/>
          <c:y val="0.22292858386697209"/>
          <c:w val="0.62572175387611972"/>
          <c:h val="0.74651683713533779"/>
        </c:manualLayout>
      </c:layout>
      <c:doughnutChart>
        <c:varyColors val="1"/>
        <c:ser>
          <c:idx val="0"/>
          <c:order val="0"/>
          <c:dLbls>
            <c:numFmt formatCode="0.0%" sourceLinked="0"/>
            <c:txPr>
              <a:bodyPr/>
              <a:lstStyle/>
              <a:p>
                <a:pPr>
                  <a:defRPr sz="900"/>
                </a:pPr>
                <a:endParaRPr lang="pl-PL"/>
              </a:p>
            </c:txPr>
            <c:showPercent val="1"/>
          </c:dLbls>
          <c:cat>
            <c:strRef>
              <c:f>'Dane wg podgr. cech'!$B$53:$B$57</c:f>
              <c:strCache>
                <c:ptCount val="5"/>
                <c:pt idx="0">
                  <c:v>wyższe</c:v>
                </c:pt>
                <c:pt idx="1">
                  <c:v>średnie zawodowe</c:v>
                </c:pt>
                <c:pt idx="2">
                  <c:v>średnie ogólnokształcące</c:v>
                </c:pt>
                <c:pt idx="3">
                  <c:v>zasadnicze zawodowe</c:v>
                </c:pt>
                <c:pt idx="4">
                  <c:v>gimnazjalne i niższe</c:v>
                </c:pt>
              </c:strCache>
            </c:strRef>
          </c:cat>
          <c:val>
            <c:numRef>
              <c:f>'Dane wg podgr. cech'!$D$53:$D$57</c:f>
              <c:numCache>
                <c:formatCode>#,##0</c:formatCode>
                <c:ptCount val="5"/>
                <c:pt idx="0">
                  <c:v>41</c:v>
                </c:pt>
                <c:pt idx="1">
                  <c:v>62</c:v>
                </c:pt>
                <c:pt idx="2">
                  <c:v>46</c:v>
                </c:pt>
                <c:pt idx="3">
                  <c:v>79</c:v>
                </c:pt>
                <c:pt idx="4">
                  <c:v>90</c:v>
                </c:pt>
              </c:numCache>
            </c:numRef>
          </c:val>
        </c:ser>
        <c:dLbls>
          <c:showPercent val="1"/>
        </c:dLbls>
        <c:firstSliceAng val="0"/>
        <c:holeSize val="50"/>
      </c:doughnutChart>
      <c:spPr>
        <a:solidFill>
          <a:sysClr val="window" lastClr="FFFFFF">
            <a:lumMod val="95000"/>
          </a:sysClr>
        </a:solidFill>
        <a:ln w="25400">
          <a:noFill/>
        </a:ln>
      </c:spPr>
    </c:plotArea>
    <c:legend>
      <c:legendPos val="r"/>
      <c:layout>
        <c:manualLayout>
          <c:xMode val="edge"/>
          <c:yMode val="edge"/>
          <c:x val="0.68323589462367651"/>
          <c:y val="0.23666491981455987"/>
          <c:w val="0.29550521996775825"/>
          <c:h val="0.71734564714701143"/>
        </c:manualLayout>
      </c:layout>
      <c:txPr>
        <a:bodyPr/>
        <a:lstStyle/>
        <a:p>
          <a:pPr>
            <a:defRPr sz="800"/>
          </a:pPr>
          <a:endParaRPr lang="pl-PL"/>
        </a:p>
      </c:txPr>
    </c:legend>
    <c:plotVisOnly val="1"/>
    <c:dispBlanksAs val="zero"/>
  </c:chart>
  <c:spPr>
    <a:solidFill>
      <a:schemeClr val="bg1">
        <a:lumMod val="95000"/>
      </a:schemeClr>
    </a:solidFill>
    <a:ln>
      <a:noFill/>
    </a:ln>
  </c:spPr>
  <c:externalData r:id="rId1"/>
</c:chartSpace>
</file>

<file path=word/drawings/drawing1.xml><?xml version="1.0" encoding="utf-8"?>
<c:userShapes xmlns:c="http://schemas.openxmlformats.org/drawingml/2006/chart">
  <cdr:relSizeAnchor xmlns:cdr="http://schemas.openxmlformats.org/drawingml/2006/chartDrawing">
    <cdr:from>
      <cdr:x>0.20745</cdr:x>
      <cdr:y>0.52507</cdr:y>
    </cdr:from>
    <cdr:to>
      <cdr:x>0.42808</cdr:x>
      <cdr:y>0.62302</cdr:y>
    </cdr:to>
    <cdr:sp macro="" textlink="">
      <cdr:nvSpPr>
        <cdr:cNvPr id="2" name="pole tekstowe 1"/>
        <cdr:cNvSpPr txBox="1"/>
      </cdr:nvSpPr>
      <cdr:spPr>
        <a:xfrm xmlns:a="http://schemas.openxmlformats.org/drawingml/2006/main">
          <a:off x="644070" y="1406874"/>
          <a:ext cx="684999" cy="2624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900" b="1"/>
            <a:t>2005 r.</a:t>
          </a:r>
        </a:p>
      </cdr:txBody>
    </cdr:sp>
  </cdr:relSizeAnchor>
  <cdr:relSizeAnchor xmlns:cdr="http://schemas.openxmlformats.org/drawingml/2006/chartDrawing">
    <cdr:from>
      <cdr:x>0</cdr:x>
      <cdr:y>0.19875</cdr:y>
    </cdr:from>
    <cdr:to>
      <cdr:x>0.19863</cdr:x>
      <cdr:y>0.27778</cdr:y>
    </cdr:to>
    <cdr:sp macro="" textlink="">
      <cdr:nvSpPr>
        <cdr:cNvPr id="3" name="pole tekstowe 1"/>
        <cdr:cNvSpPr txBox="1"/>
      </cdr:nvSpPr>
      <cdr:spPr>
        <a:xfrm xmlns:a="http://schemas.openxmlformats.org/drawingml/2006/main">
          <a:off x="0" y="532538"/>
          <a:ext cx="616688" cy="2117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pl-PL" sz="900" b="1"/>
            <a:t>2010 r.</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E3CD2-A183-46E8-8512-B6499FEB4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3231</TotalTime>
  <Pages>97</Pages>
  <Words>24373</Words>
  <Characters>146243</Characters>
  <Application>Microsoft Office Word</Application>
  <DocSecurity>0</DocSecurity>
  <Lines>1218</Lines>
  <Paragraphs>340</Paragraphs>
  <ScaleCrop>false</ScaleCrop>
  <HeadingPairs>
    <vt:vector size="2" baseType="variant">
      <vt:variant>
        <vt:lpstr>Tytuł</vt:lpstr>
      </vt:variant>
      <vt:variant>
        <vt:i4>1</vt:i4>
      </vt:variant>
    </vt:vector>
  </HeadingPairs>
  <TitlesOfParts>
    <vt:vector size="1" baseType="lpstr">
      <vt:lpstr/>
    </vt:vector>
  </TitlesOfParts>
  <Company>liderprojekt</Company>
  <LinksUpToDate>false</LinksUpToDate>
  <CharactersWithSpaces>170276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liderprojekt</dc:creator>
  <cp:lastModifiedBy>liderprojekt</cp:lastModifiedBy>
  <cp:revision>177</cp:revision>
  <cp:lastPrinted>2012-01-30T16:18:00Z</cp:lastPrinted>
  <dcterms:created xsi:type="dcterms:W3CDTF">2011-12-29T08:29:00Z</dcterms:created>
  <dcterms:modified xsi:type="dcterms:W3CDTF">2012-04-02T11:06:00Z</dcterms:modified>
</cp:coreProperties>
</file>